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6F355" w14:textId="310D06EC" w:rsidR="00DF0B8F" w:rsidRPr="00F745DE" w:rsidRDefault="000A2EC2" w:rsidP="00BA1878">
      <w:pPr>
        <w:autoSpaceDE w:val="0"/>
        <w:autoSpaceDN w:val="0"/>
        <w:adjustRightInd w:val="0"/>
        <w:spacing w:before="240" w:after="360"/>
        <w:jc w:val="center"/>
        <w:rPr>
          <w:rFonts w:cs="Arial"/>
          <w:i/>
          <w:sz w:val="36"/>
          <w:szCs w:val="36"/>
          <w:lang w:val="en-GB"/>
        </w:rPr>
      </w:pPr>
      <w:r w:rsidRPr="00F745DE">
        <w:rPr>
          <w:rFonts w:cs="Arial"/>
          <w:b/>
          <w:bCs/>
          <w:color w:val="1F4E79" w:themeColor="accent1" w:themeShade="80"/>
          <w:sz w:val="36"/>
          <w:szCs w:val="36"/>
          <w:lang w:val="en-GB"/>
        </w:rPr>
        <w:t xml:space="preserve">Job Description: </w:t>
      </w:r>
      <w:r w:rsidR="00F53BFC" w:rsidRPr="00F745DE">
        <w:rPr>
          <w:rFonts w:cs="Arial"/>
          <w:b/>
          <w:bCs/>
          <w:color w:val="1F4E79" w:themeColor="accent1" w:themeShade="80"/>
          <w:sz w:val="36"/>
          <w:szCs w:val="36"/>
          <w:lang w:val="en-GB"/>
        </w:rPr>
        <w:t>Senior Lecturer</w:t>
      </w:r>
      <w:r w:rsidR="00DA2CDB" w:rsidRPr="00F745DE">
        <w:rPr>
          <w:rFonts w:cs="Arial"/>
          <w:b/>
          <w:bCs/>
          <w:color w:val="1F4E79" w:themeColor="accent1" w:themeShade="80"/>
          <w:sz w:val="36"/>
          <w:szCs w:val="36"/>
          <w:lang w:val="en-GB"/>
        </w:rPr>
        <w:t xml:space="preserve"> </w:t>
      </w:r>
      <w:r w:rsidR="00D574D4" w:rsidRPr="00F745DE">
        <w:rPr>
          <w:rFonts w:cs="Arial"/>
          <w:b/>
          <w:bCs/>
          <w:color w:val="1F4E79" w:themeColor="accent1" w:themeShade="80"/>
          <w:sz w:val="36"/>
          <w:szCs w:val="36"/>
          <w:lang w:val="en-GB"/>
        </w:rPr>
        <w:t xml:space="preserve">/ </w:t>
      </w:r>
      <w:r w:rsidR="00AF0743" w:rsidRPr="00F745DE">
        <w:rPr>
          <w:rFonts w:cs="Arial"/>
          <w:b/>
          <w:bCs/>
          <w:color w:val="1F4E79" w:themeColor="accent1" w:themeShade="80"/>
          <w:sz w:val="36"/>
          <w:szCs w:val="36"/>
          <w:lang w:val="en-GB"/>
        </w:rPr>
        <w:t>Reader</w:t>
      </w:r>
      <w:r w:rsidR="00EC07C1" w:rsidRPr="00F745DE">
        <w:rPr>
          <w:rFonts w:cs="Arial"/>
          <w:b/>
          <w:bCs/>
          <w:color w:val="1F4E79" w:themeColor="accent1" w:themeShade="80"/>
          <w:sz w:val="36"/>
          <w:szCs w:val="36"/>
          <w:lang w:val="en-GB"/>
        </w:rPr>
        <w:t xml:space="preserve"> </w:t>
      </w:r>
      <w:r w:rsidR="00AF0743" w:rsidRPr="00F745DE">
        <w:rPr>
          <w:rFonts w:cs="Arial"/>
          <w:b/>
          <w:bCs/>
          <w:color w:val="1F4E79" w:themeColor="accent1" w:themeShade="80"/>
          <w:sz w:val="36"/>
          <w:szCs w:val="36"/>
          <w:lang w:val="en-GB"/>
        </w:rPr>
        <w:t xml:space="preserve">/ </w:t>
      </w:r>
      <w:r w:rsidR="00EC07C1" w:rsidRPr="00F745DE">
        <w:rPr>
          <w:rFonts w:cs="Arial"/>
          <w:b/>
          <w:bCs/>
          <w:color w:val="1F4E79" w:themeColor="accent1" w:themeShade="80"/>
          <w:sz w:val="36"/>
          <w:szCs w:val="36"/>
          <w:lang w:val="en-GB"/>
        </w:rPr>
        <w:t xml:space="preserve">Associate </w:t>
      </w:r>
      <w:r w:rsidR="00D574D4" w:rsidRPr="00F745DE">
        <w:rPr>
          <w:rFonts w:cs="Arial"/>
          <w:b/>
          <w:bCs/>
          <w:color w:val="1F4E79" w:themeColor="accent1" w:themeShade="80"/>
          <w:sz w:val="36"/>
          <w:szCs w:val="36"/>
          <w:lang w:val="en-GB"/>
        </w:rPr>
        <w:t>Professor &amp; Honorary Consultant</w:t>
      </w:r>
      <w:r w:rsidR="00F53BFC" w:rsidRPr="00F745DE">
        <w:rPr>
          <w:rFonts w:cs="Arial"/>
          <w:b/>
          <w:bCs/>
          <w:color w:val="1F4E79" w:themeColor="accent1" w:themeShade="80"/>
          <w:sz w:val="36"/>
          <w:szCs w:val="36"/>
          <w:lang w:val="en-GB"/>
        </w:rPr>
        <w:t xml:space="preserve"> </w:t>
      </w:r>
      <w:r w:rsidRPr="00F745DE">
        <w:rPr>
          <w:rFonts w:cs="Arial"/>
          <w:b/>
          <w:bCs/>
          <w:color w:val="1F4E79" w:themeColor="accent1" w:themeShade="80"/>
          <w:sz w:val="36"/>
          <w:szCs w:val="36"/>
          <w:lang w:val="en-GB"/>
        </w:rPr>
        <w:t>in Public Health</w:t>
      </w:r>
    </w:p>
    <w:p w14:paraId="4AC08CD5" w14:textId="0485A4FF" w:rsidR="001953E6" w:rsidRPr="00F745DE" w:rsidRDefault="001953E6" w:rsidP="006223E2">
      <w:pPr>
        <w:ind w:left="3544" w:hanging="3544"/>
        <w:rPr>
          <w:rFonts w:cs="Arial"/>
          <w:bCs/>
          <w:lang w:val="en-GB"/>
        </w:rPr>
      </w:pPr>
      <w:r w:rsidRPr="00F745DE">
        <w:rPr>
          <w:rFonts w:cs="Arial"/>
          <w:b/>
          <w:lang w:val="en-GB"/>
        </w:rPr>
        <w:t>Employing organisation:</w:t>
      </w:r>
      <w:r w:rsidRPr="00F745DE">
        <w:rPr>
          <w:rFonts w:cs="Arial"/>
          <w:b/>
          <w:lang w:val="en-GB"/>
        </w:rPr>
        <w:tab/>
      </w:r>
      <w:r w:rsidR="005C68E9" w:rsidRPr="00F745DE">
        <w:rPr>
          <w:rFonts w:cs="Arial"/>
          <w:bCs/>
          <w:lang w:val="en-GB"/>
        </w:rPr>
        <w:t>N</w:t>
      </w:r>
      <w:r w:rsidRPr="00F745DE">
        <w:rPr>
          <w:rFonts w:cs="Arial"/>
          <w:bCs/>
          <w:lang w:val="en-GB"/>
        </w:rPr>
        <w:t xml:space="preserve">ame of </w:t>
      </w:r>
      <w:r w:rsidR="00132444" w:rsidRPr="00F745DE">
        <w:rPr>
          <w:rFonts w:cs="Arial"/>
          <w:bCs/>
          <w:lang w:val="en-GB"/>
        </w:rPr>
        <w:t>e</w:t>
      </w:r>
      <w:r w:rsidR="00452D6B" w:rsidRPr="00F745DE">
        <w:rPr>
          <w:rFonts w:cs="Arial"/>
          <w:bCs/>
          <w:lang w:val="en-GB"/>
        </w:rPr>
        <w:t xml:space="preserve">mploying </w:t>
      </w:r>
      <w:r w:rsidR="00132444" w:rsidRPr="00F745DE">
        <w:rPr>
          <w:rFonts w:cs="Arial"/>
          <w:bCs/>
          <w:lang w:val="en-GB"/>
        </w:rPr>
        <w:t>o</w:t>
      </w:r>
      <w:r w:rsidR="00452D6B" w:rsidRPr="00F745DE">
        <w:rPr>
          <w:rFonts w:cs="Arial"/>
          <w:bCs/>
          <w:lang w:val="en-GB"/>
        </w:rPr>
        <w:t>rganisation</w:t>
      </w:r>
    </w:p>
    <w:p w14:paraId="42D8F875" w14:textId="77777777" w:rsidR="006223E2" w:rsidRPr="00F745DE" w:rsidRDefault="006223E2" w:rsidP="006223E2">
      <w:pPr>
        <w:ind w:left="3544" w:hanging="3544"/>
        <w:rPr>
          <w:rFonts w:cs="Arial"/>
          <w:b/>
          <w:lang w:val="en-GB"/>
        </w:rPr>
      </w:pPr>
    </w:p>
    <w:p w14:paraId="6A71866A" w14:textId="392B05CE" w:rsidR="001953E6" w:rsidRPr="00F745DE" w:rsidRDefault="001953E6" w:rsidP="006223E2">
      <w:pPr>
        <w:ind w:left="3544" w:hanging="3544"/>
        <w:rPr>
          <w:rFonts w:cs="Arial"/>
          <w:bCs/>
          <w:lang w:val="en-GB"/>
        </w:rPr>
      </w:pPr>
      <w:r w:rsidRPr="00F745DE">
        <w:rPr>
          <w:rFonts w:cs="Arial"/>
          <w:b/>
          <w:lang w:val="en-GB"/>
        </w:rPr>
        <w:t>Title:</w:t>
      </w:r>
      <w:r w:rsidRPr="00F745DE">
        <w:rPr>
          <w:rFonts w:cs="Arial"/>
          <w:b/>
          <w:lang w:val="en-GB"/>
        </w:rPr>
        <w:tab/>
      </w:r>
      <w:r w:rsidR="00F53BFC" w:rsidRPr="00F745DE">
        <w:rPr>
          <w:rFonts w:cs="Arial"/>
          <w:bCs/>
          <w:lang w:val="en-GB"/>
        </w:rPr>
        <w:t>Senior Lecturer</w:t>
      </w:r>
      <w:r w:rsidR="00132444" w:rsidRPr="00F745DE">
        <w:rPr>
          <w:rFonts w:cs="Arial"/>
          <w:bCs/>
          <w:lang w:val="en-GB"/>
        </w:rPr>
        <w:t xml:space="preserve"> </w:t>
      </w:r>
      <w:r w:rsidR="00F53BFC" w:rsidRPr="00F745DE">
        <w:rPr>
          <w:rFonts w:cs="Arial"/>
          <w:bCs/>
          <w:lang w:val="en-GB"/>
        </w:rPr>
        <w:t>/</w:t>
      </w:r>
      <w:r w:rsidR="00132444" w:rsidRPr="00F745DE">
        <w:rPr>
          <w:rFonts w:cs="Arial"/>
          <w:bCs/>
          <w:lang w:val="en-GB"/>
        </w:rPr>
        <w:t xml:space="preserve"> </w:t>
      </w:r>
      <w:r w:rsidR="00AF0743" w:rsidRPr="00F745DE">
        <w:rPr>
          <w:rFonts w:cs="Arial"/>
          <w:bCs/>
          <w:lang w:val="en-GB"/>
        </w:rPr>
        <w:t>Reader</w:t>
      </w:r>
      <w:r w:rsidR="00132444" w:rsidRPr="00F745DE">
        <w:rPr>
          <w:rFonts w:cs="Arial"/>
          <w:bCs/>
          <w:lang w:val="en-GB"/>
        </w:rPr>
        <w:t xml:space="preserve"> </w:t>
      </w:r>
      <w:r w:rsidR="00AF0743" w:rsidRPr="00F745DE">
        <w:rPr>
          <w:rFonts w:cs="Arial"/>
          <w:bCs/>
          <w:lang w:val="en-GB"/>
        </w:rPr>
        <w:t xml:space="preserve">/ </w:t>
      </w:r>
      <w:r w:rsidR="00132444" w:rsidRPr="00F745DE">
        <w:rPr>
          <w:rFonts w:cs="Arial"/>
          <w:bCs/>
          <w:lang w:val="en-GB"/>
        </w:rPr>
        <w:t xml:space="preserve">Associate </w:t>
      </w:r>
      <w:r w:rsidR="00F53BFC" w:rsidRPr="00F745DE">
        <w:rPr>
          <w:rFonts w:cs="Arial"/>
          <w:bCs/>
          <w:lang w:val="en-GB"/>
        </w:rPr>
        <w:t xml:space="preserve">Professor </w:t>
      </w:r>
      <w:r w:rsidR="00AF0743" w:rsidRPr="00F745DE">
        <w:rPr>
          <w:rFonts w:cs="Arial"/>
          <w:bCs/>
          <w:lang w:val="en-GB"/>
        </w:rPr>
        <w:t xml:space="preserve">&amp; Honorary Consultant </w:t>
      </w:r>
      <w:r w:rsidR="00F53BFC" w:rsidRPr="00F745DE">
        <w:rPr>
          <w:rFonts w:cs="Arial"/>
          <w:bCs/>
          <w:lang w:val="en-GB"/>
        </w:rPr>
        <w:t xml:space="preserve">in </w:t>
      </w:r>
      <w:r w:rsidRPr="00F745DE">
        <w:rPr>
          <w:rFonts w:cs="Arial"/>
          <w:bCs/>
          <w:lang w:val="en-GB"/>
        </w:rPr>
        <w:t>Public Health</w:t>
      </w:r>
    </w:p>
    <w:p w14:paraId="4A7197D1" w14:textId="77777777" w:rsidR="006223E2" w:rsidRPr="00F745DE" w:rsidRDefault="006223E2" w:rsidP="006223E2">
      <w:pPr>
        <w:ind w:left="3544" w:hanging="3544"/>
        <w:rPr>
          <w:rFonts w:cs="Arial"/>
          <w:b/>
          <w:lang w:val="en-GB"/>
        </w:rPr>
      </w:pPr>
    </w:p>
    <w:p w14:paraId="7F04B000" w14:textId="255E3981" w:rsidR="00F53BFC" w:rsidRPr="00F745DE" w:rsidRDefault="00F53BFC" w:rsidP="006223E2">
      <w:pPr>
        <w:ind w:left="3544" w:hanging="3544"/>
        <w:rPr>
          <w:rFonts w:cs="Arial"/>
          <w:bCs/>
          <w:lang w:val="en-GB"/>
        </w:rPr>
      </w:pPr>
      <w:r w:rsidRPr="00F745DE">
        <w:rPr>
          <w:rFonts w:cs="Arial"/>
          <w:b/>
          <w:lang w:val="en-GB"/>
        </w:rPr>
        <w:t xml:space="preserve">Department: </w:t>
      </w:r>
      <w:r w:rsidRPr="00F745DE">
        <w:rPr>
          <w:rFonts w:cs="Arial"/>
          <w:b/>
          <w:lang w:val="en-GB"/>
        </w:rPr>
        <w:tab/>
      </w:r>
      <w:r w:rsidR="006D1DDF" w:rsidRPr="00F745DE">
        <w:rPr>
          <w:rFonts w:cs="Arial"/>
          <w:bCs/>
          <w:lang w:val="en-GB"/>
        </w:rPr>
        <w:t>[Specify]</w:t>
      </w:r>
    </w:p>
    <w:p w14:paraId="4E5FB1F0" w14:textId="77777777" w:rsidR="006223E2" w:rsidRPr="00F745DE" w:rsidRDefault="006223E2" w:rsidP="006223E2">
      <w:pPr>
        <w:ind w:left="3544" w:hanging="3544"/>
        <w:rPr>
          <w:rFonts w:cs="Arial"/>
          <w:b/>
          <w:lang w:val="en-GB"/>
        </w:rPr>
      </w:pPr>
    </w:p>
    <w:p w14:paraId="6F5419B7" w14:textId="2549E748" w:rsidR="00F25E7C" w:rsidRPr="00F745DE" w:rsidRDefault="00F25E7C" w:rsidP="006223E2">
      <w:pPr>
        <w:ind w:left="3544" w:hanging="3544"/>
        <w:rPr>
          <w:rFonts w:cs="Arial"/>
          <w:bCs/>
          <w:lang w:val="en-GB"/>
        </w:rPr>
      </w:pPr>
      <w:r w:rsidRPr="00F745DE">
        <w:rPr>
          <w:rFonts w:cs="Arial"/>
          <w:b/>
          <w:lang w:val="en-GB"/>
        </w:rPr>
        <w:t>Location of post:</w:t>
      </w:r>
      <w:r w:rsidRPr="00F745DE">
        <w:rPr>
          <w:rFonts w:cs="Arial"/>
          <w:b/>
          <w:lang w:val="en-GB"/>
        </w:rPr>
        <w:tab/>
      </w:r>
      <w:r w:rsidR="006D1DDF" w:rsidRPr="00F745DE">
        <w:rPr>
          <w:rFonts w:cs="Arial"/>
          <w:bCs/>
          <w:lang w:val="en-GB"/>
        </w:rPr>
        <w:t>[Specify]</w:t>
      </w:r>
    </w:p>
    <w:p w14:paraId="76DE5863" w14:textId="77777777" w:rsidR="006223E2" w:rsidRPr="00F745DE" w:rsidRDefault="006223E2" w:rsidP="006223E2">
      <w:pPr>
        <w:ind w:left="3544" w:hanging="3544"/>
        <w:rPr>
          <w:rFonts w:cs="Arial"/>
          <w:b/>
          <w:lang w:val="en-GB"/>
        </w:rPr>
      </w:pPr>
    </w:p>
    <w:p w14:paraId="203E6E3F" w14:textId="1FD3E4B1" w:rsidR="001953E6" w:rsidRPr="00F745DE" w:rsidRDefault="00F53BFC" w:rsidP="006223E2">
      <w:pPr>
        <w:ind w:left="3544" w:hanging="3544"/>
        <w:rPr>
          <w:rFonts w:cs="Arial"/>
          <w:bCs/>
          <w:lang w:val="en-GB"/>
        </w:rPr>
      </w:pPr>
      <w:r w:rsidRPr="00F745DE">
        <w:rPr>
          <w:rFonts w:cs="Arial"/>
          <w:b/>
          <w:lang w:val="en-GB"/>
        </w:rPr>
        <w:t>Hours of work:</w:t>
      </w:r>
      <w:r w:rsidRPr="00F745DE">
        <w:rPr>
          <w:rFonts w:cs="Arial"/>
          <w:b/>
          <w:lang w:val="en-GB"/>
        </w:rPr>
        <w:tab/>
      </w:r>
      <w:r w:rsidR="001953E6" w:rsidRPr="00F745DE">
        <w:rPr>
          <w:rFonts w:cs="Arial"/>
          <w:bCs/>
          <w:lang w:val="en-GB"/>
        </w:rPr>
        <w:t xml:space="preserve">Full </w:t>
      </w:r>
      <w:r w:rsidR="00132444" w:rsidRPr="00F745DE">
        <w:rPr>
          <w:rFonts w:cs="Arial"/>
          <w:bCs/>
          <w:lang w:val="en-GB"/>
        </w:rPr>
        <w:t>t</w:t>
      </w:r>
      <w:r w:rsidR="001953E6" w:rsidRPr="00F745DE">
        <w:rPr>
          <w:rFonts w:cs="Arial"/>
          <w:bCs/>
          <w:lang w:val="en-GB"/>
        </w:rPr>
        <w:t>ime</w:t>
      </w:r>
      <w:r w:rsidR="00132444" w:rsidRPr="00F745DE">
        <w:rPr>
          <w:rFonts w:cs="Arial"/>
          <w:bCs/>
          <w:lang w:val="en-GB"/>
        </w:rPr>
        <w:t xml:space="preserve"> or p</w:t>
      </w:r>
      <w:r w:rsidR="001953E6" w:rsidRPr="00F745DE">
        <w:rPr>
          <w:rFonts w:cs="Arial"/>
          <w:bCs/>
          <w:lang w:val="en-GB"/>
        </w:rPr>
        <w:t xml:space="preserve">art </w:t>
      </w:r>
      <w:r w:rsidR="00132444" w:rsidRPr="00F745DE">
        <w:rPr>
          <w:rFonts w:cs="Arial"/>
          <w:bCs/>
          <w:lang w:val="en-GB"/>
        </w:rPr>
        <w:t>t</w:t>
      </w:r>
      <w:r w:rsidR="001953E6" w:rsidRPr="00F745DE">
        <w:rPr>
          <w:rFonts w:cs="Arial"/>
          <w:bCs/>
          <w:lang w:val="en-GB"/>
        </w:rPr>
        <w:t>ime/</w:t>
      </w:r>
      <w:r w:rsidR="00132444" w:rsidRPr="00F745DE">
        <w:rPr>
          <w:rFonts w:cs="Arial"/>
          <w:bCs/>
          <w:lang w:val="en-GB"/>
        </w:rPr>
        <w:t>j</w:t>
      </w:r>
      <w:r w:rsidR="001953E6" w:rsidRPr="00F745DE">
        <w:rPr>
          <w:rFonts w:cs="Arial"/>
          <w:bCs/>
          <w:lang w:val="en-GB"/>
        </w:rPr>
        <w:t xml:space="preserve">ob </w:t>
      </w:r>
      <w:r w:rsidR="00132444" w:rsidRPr="00F745DE">
        <w:rPr>
          <w:rFonts w:cs="Arial"/>
          <w:bCs/>
          <w:lang w:val="en-GB"/>
        </w:rPr>
        <w:t>s</w:t>
      </w:r>
      <w:r w:rsidR="001953E6" w:rsidRPr="00F745DE">
        <w:rPr>
          <w:rFonts w:cs="Arial"/>
          <w:bCs/>
          <w:lang w:val="en-GB"/>
        </w:rPr>
        <w:t>hare</w:t>
      </w:r>
      <w:r w:rsidR="00132444" w:rsidRPr="00F745DE">
        <w:rPr>
          <w:rFonts w:cs="Arial"/>
          <w:bCs/>
          <w:lang w:val="en-GB"/>
        </w:rPr>
        <w:t>, temporary or permanent post</w:t>
      </w:r>
    </w:p>
    <w:p w14:paraId="38096A2E" w14:textId="77777777" w:rsidR="006223E2" w:rsidRPr="00F745DE" w:rsidRDefault="006223E2" w:rsidP="006223E2">
      <w:pPr>
        <w:ind w:left="3544" w:hanging="3544"/>
        <w:rPr>
          <w:rFonts w:cs="Arial"/>
          <w:b/>
          <w:lang w:val="en-GB"/>
        </w:rPr>
      </w:pPr>
    </w:p>
    <w:p w14:paraId="370E4411" w14:textId="2C5B85FE" w:rsidR="001953E6" w:rsidRPr="00F745DE" w:rsidRDefault="00F53BFC" w:rsidP="006223E2">
      <w:pPr>
        <w:ind w:left="3544" w:hanging="3544"/>
        <w:rPr>
          <w:rFonts w:cs="Arial"/>
          <w:bCs/>
          <w:lang w:val="en-GB"/>
        </w:rPr>
      </w:pPr>
      <w:r w:rsidRPr="00F745DE">
        <w:rPr>
          <w:rFonts w:cs="Arial"/>
          <w:b/>
          <w:lang w:val="en-GB"/>
        </w:rPr>
        <w:t>Responsible to</w:t>
      </w:r>
      <w:r w:rsidR="001953E6" w:rsidRPr="00F745DE">
        <w:rPr>
          <w:rFonts w:cs="Arial"/>
          <w:b/>
          <w:lang w:val="en-GB"/>
        </w:rPr>
        <w:t>:</w:t>
      </w:r>
      <w:r w:rsidR="001953E6" w:rsidRPr="00F745DE">
        <w:rPr>
          <w:rFonts w:cs="Arial"/>
          <w:b/>
          <w:lang w:val="en-GB"/>
        </w:rPr>
        <w:tab/>
      </w:r>
      <w:r w:rsidR="001953E6" w:rsidRPr="00F745DE">
        <w:rPr>
          <w:rFonts w:cs="Arial"/>
          <w:bCs/>
          <w:lang w:val="en-GB"/>
        </w:rPr>
        <w:t xml:space="preserve">The </w:t>
      </w:r>
      <w:r w:rsidR="000060D1" w:rsidRPr="00F745DE">
        <w:rPr>
          <w:rFonts w:cs="Arial"/>
          <w:bCs/>
          <w:lang w:val="en-GB"/>
        </w:rPr>
        <w:t>post-holder</w:t>
      </w:r>
      <w:r w:rsidR="001953E6" w:rsidRPr="00F745DE">
        <w:rPr>
          <w:rFonts w:cs="Arial"/>
          <w:bCs/>
          <w:lang w:val="en-GB"/>
        </w:rPr>
        <w:t xml:space="preserve"> will be dually accountable</w:t>
      </w:r>
    </w:p>
    <w:p w14:paraId="68EE89F8" w14:textId="77777777" w:rsidR="006223E2" w:rsidRPr="00F745DE" w:rsidRDefault="006223E2" w:rsidP="006223E2">
      <w:pPr>
        <w:ind w:left="3544" w:hanging="3544"/>
        <w:rPr>
          <w:rFonts w:cs="Arial"/>
          <w:b/>
          <w:lang w:val="en-GB"/>
        </w:rPr>
      </w:pPr>
    </w:p>
    <w:p w14:paraId="395621E2" w14:textId="3A999D0A" w:rsidR="001953E6" w:rsidRPr="00F745DE" w:rsidRDefault="00F53BFC" w:rsidP="006223E2">
      <w:pPr>
        <w:ind w:left="3544" w:hanging="3544"/>
        <w:rPr>
          <w:rFonts w:cs="Arial"/>
          <w:bCs/>
          <w:lang w:val="en-GB"/>
        </w:rPr>
      </w:pPr>
      <w:r w:rsidRPr="00F745DE">
        <w:rPr>
          <w:rFonts w:cs="Arial"/>
          <w:b/>
          <w:lang w:val="en-GB"/>
        </w:rPr>
        <w:t>P</w:t>
      </w:r>
      <w:r w:rsidR="001953E6" w:rsidRPr="00F745DE">
        <w:rPr>
          <w:rFonts w:cs="Arial"/>
          <w:b/>
          <w:lang w:val="en-GB"/>
        </w:rPr>
        <w:t>rofessional</w:t>
      </w:r>
      <w:r w:rsidRPr="00F745DE">
        <w:rPr>
          <w:rFonts w:cs="Arial"/>
          <w:b/>
          <w:lang w:val="en-GB"/>
        </w:rPr>
        <w:t xml:space="preserve"> accountability </w:t>
      </w:r>
      <w:r w:rsidR="006223E2" w:rsidRPr="00F745DE">
        <w:rPr>
          <w:rFonts w:cs="Arial"/>
          <w:b/>
          <w:lang w:val="en-GB"/>
        </w:rPr>
        <w:tab/>
      </w:r>
      <w:r w:rsidR="006D1DDF" w:rsidRPr="00F745DE">
        <w:rPr>
          <w:rFonts w:cs="Arial"/>
          <w:bCs/>
          <w:lang w:val="en-GB"/>
        </w:rPr>
        <w:t>[</w:t>
      </w:r>
      <w:proofErr w:type="gramStart"/>
      <w:r w:rsidR="006223E2" w:rsidRPr="00F745DE">
        <w:rPr>
          <w:rFonts w:cs="Arial"/>
          <w:bCs/>
          <w:lang w:val="en-GB"/>
        </w:rPr>
        <w:t>S</w:t>
      </w:r>
      <w:r w:rsidR="001953E6" w:rsidRPr="00F745DE">
        <w:rPr>
          <w:rFonts w:cs="Arial"/>
          <w:bCs/>
          <w:lang w:val="en-GB"/>
        </w:rPr>
        <w:t>pecify</w:t>
      </w:r>
      <w:proofErr w:type="gramEnd"/>
      <w:r w:rsidR="006D1DDF" w:rsidRPr="00F745DE">
        <w:rPr>
          <w:rFonts w:cs="Arial"/>
          <w:bCs/>
          <w:lang w:val="en-GB"/>
        </w:rPr>
        <w:t>]</w:t>
      </w:r>
    </w:p>
    <w:p w14:paraId="218C4459" w14:textId="77777777" w:rsidR="006223E2" w:rsidRPr="00F745DE" w:rsidRDefault="006223E2" w:rsidP="006223E2">
      <w:pPr>
        <w:ind w:left="3544" w:hanging="3544"/>
        <w:rPr>
          <w:rFonts w:cs="Arial"/>
          <w:b/>
          <w:lang w:val="en-GB"/>
        </w:rPr>
      </w:pPr>
    </w:p>
    <w:p w14:paraId="385EAF8C" w14:textId="7E42441A" w:rsidR="001953E6" w:rsidRPr="00F745DE" w:rsidRDefault="00F53BFC" w:rsidP="006223E2">
      <w:pPr>
        <w:ind w:left="3544" w:hanging="3544"/>
        <w:rPr>
          <w:rFonts w:cs="Arial"/>
          <w:bCs/>
          <w:lang w:val="en-GB"/>
        </w:rPr>
      </w:pPr>
      <w:r w:rsidRPr="00F745DE">
        <w:rPr>
          <w:rFonts w:cs="Arial"/>
          <w:b/>
          <w:lang w:val="en-GB"/>
        </w:rPr>
        <w:t>M</w:t>
      </w:r>
      <w:r w:rsidR="001953E6" w:rsidRPr="00F745DE">
        <w:rPr>
          <w:rFonts w:cs="Arial"/>
          <w:b/>
          <w:lang w:val="en-GB"/>
        </w:rPr>
        <w:t>anagerial</w:t>
      </w:r>
      <w:r w:rsidRPr="00F745DE">
        <w:rPr>
          <w:rFonts w:cs="Arial"/>
          <w:b/>
          <w:lang w:val="en-GB"/>
        </w:rPr>
        <w:t xml:space="preserve"> accountability </w:t>
      </w:r>
      <w:r w:rsidR="006223E2" w:rsidRPr="00F745DE">
        <w:rPr>
          <w:rFonts w:cs="Arial"/>
          <w:b/>
          <w:lang w:val="en-GB"/>
        </w:rPr>
        <w:tab/>
      </w:r>
      <w:r w:rsidR="006D1DDF" w:rsidRPr="00F745DE">
        <w:rPr>
          <w:rFonts w:cs="Arial"/>
          <w:bCs/>
          <w:lang w:val="en-GB"/>
        </w:rPr>
        <w:t>[</w:t>
      </w:r>
      <w:proofErr w:type="gramStart"/>
      <w:r w:rsidR="006223E2" w:rsidRPr="00F745DE">
        <w:rPr>
          <w:rFonts w:cs="Arial"/>
          <w:bCs/>
          <w:lang w:val="en-GB"/>
        </w:rPr>
        <w:t>S</w:t>
      </w:r>
      <w:r w:rsidR="006D1DDF" w:rsidRPr="00F745DE">
        <w:rPr>
          <w:rFonts w:cs="Arial"/>
          <w:bCs/>
          <w:lang w:val="en-GB"/>
        </w:rPr>
        <w:t>pecify</w:t>
      </w:r>
      <w:proofErr w:type="gramEnd"/>
      <w:r w:rsidR="006D1DDF" w:rsidRPr="00F745DE">
        <w:rPr>
          <w:rFonts w:cs="Arial"/>
          <w:bCs/>
          <w:lang w:val="en-GB"/>
        </w:rPr>
        <w:t>]</w:t>
      </w:r>
    </w:p>
    <w:p w14:paraId="13ED03E4" w14:textId="77777777" w:rsidR="00BA0CD2" w:rsidRPr="00F745DE" w:rsidRDefault="00BA0CD2" w:rsidP="006223E2">
      <w:pPr>
        <w:ind w:left="3544" w:hanging="3544"/>
        <w:rPr>
          <w:rFonts w:cs="Arial"/>
          <w:b/>
          <w:lang w:val="en-GB"/>
        </w:rPr>
      </w:pPr>
    </w:p>
    <w:p w14:paraId="0C46F476" w14:textId="562432BF" w:rsidR="00BA0CD2" w:rsidRPr="00F745DE" w:rsidRDefault="00F53BFC" w:rsidP="006223E2">
      <w:pPr>
        <w:ind w:left="3544" w:hanging="3544"/>
        <w:rPr>
          <w:rFonts w:cs="Arial"/>
          <w:bCs/>
          <w:lang w:val="en-GB"/>
        </w:rPr>
      </w:pPr>
      <w:r w:rsidRPr="00F745DE">
        <w:rPr>
          <w:rFonts w:cs="Arial"/>
          <w:b/>
          <w:lang w:val="en-GB"/>
        </w:rPr>
        <w:t>Salary</w:t>
      </w:r>
      <w:r w:rsidR="001953E6" w:rsidRPr="00F745DE">
        <w:rPr>
          <w:rFonts w:cs="Arial"/>
          <w:b/>
          <w:lang w:val="en-GB"/>
        </w:rPr>
        <w:t>:</w:t>
      </w:r>
      <w:r w:rsidRPr="00F745DE">
        <w:rPr>
          <w:rFonts w:cs="Arial"/>
          <w:b/>
          <w:lang w:val="en-GB"/>
        </w:rPr>
        <w:tab/>
      </w:r>
      <w:r w:rsidR="006223E2" w:rsidRPr="00F745DE">
        <w:rPr>
          <w:rFonts w:cs="Arial"/>
          <w:bCs/>
          <w:lang w:val="en-GB"/>
        </w:rPr>
        <w:t>[Specify]</w:t>
      </w:r>
    </w:p>
    <w:p w14:paraId="74044C15" w14:textId="77777777" w:rsidR="006223E2" w:rsidRPr="00F745DE" w:rsidRDefault="006223E2" w:rsidP="006223E2">
      <w:pPr>
        <w:ind w:left="3544" w:hanging="3544"/>
        <w:rPr>
          <w:rFonts w:cs="Arial"/>
          <w:b/>
          <w:lang w:val="en-GB"/>
        </w:rPr>
      </w:pPr>
    </w:p>
    <w:p w14:paraId="69F5A2ED" w14:textId="1D26C946" w:rsidR="00F25E7C" w:rsidRPr="00F745DE" w:rsidRDefault="0086037E" w:rsidP="006223E2">
      <w:pPr>
        <w:ind w:left="3544" w:hanging="3544"/>
        <w:rPr>
          <w:rFonts w:cs="Arial"/>
          <w:bCs/>
          <w:lang w:val="en-GB"/>
        </w:rPr>
      </w:pPr>
      <w:r w:rsidRPr="00F745DE">
        <w:rPr>
          <w:rFonts w:cs="Arial"/>
          <w:b/>
          <w:lang w:val="en-GB"/>
        </w:rPr>
        <w:t>Managerial responsibility:</w:t>
      </w:r>
      <w:r w:rsidRPr="00F745DE">
        <w:rPr>
          <w:rFonts w:cs="Arial"/>
          <w:b/>
          <w:lang w:val="en-GB"/>
        </w:rPr>
        <w:tab/>
      </w:r>
      <w:r w:rsidR="006D1DDF" w:rsidRPr="00F745DE">
        <w:rPr>
          <w:rFonts w:cs="Arial"/>
          <w:bCs/>
          <w:lang w:val="en-GB"/>
        </w:rPr>
        <w:t>N</w:t>
      </w:r>
      <w:r w:rsidRPr="00F745DE">
        <w:rPr>
          <w:rFonts w:cs="Arial"/>
          <w:bCs/>
          <w:lang w:val="en-GB"/>
        </w:rPr>
        <w:t>umber of people and/or budgets/team</w:t>
      </w:r>
    </w:p>
    <w:p w14:paraId="0A3A96C1" w14:textId="5732A4E4" w:rsidR="00204085" w:rsidRPr="00F745DE" w:rsidRDefault="00FE284E" w:rsidP="008B12C3">
      <w:pPr>
        <w:pStyle w:val="ListParagraph"/>
        <w:widowControl w:val="0"/>
        <w:numPr>
          <w:ilvl w:val="0"/>
          <w:numId w:val="38"/>
        </w:numPr>
        <w:spacing w:before="240" w:after="0" w:line="240" w:lineRule="auto"/>
        <w:ind w:left="567" w:hanging="567"/>
        <w:contextualSpacing w:val="0"/>
        <w:rPr>
          <w:rFonts w:ascii="Arial" w:hAnsi="Arial" w:cs="Arial"/>
          <w:b/>
          <w:bCs/>
          <w:color w:val="1F4E79" w:themeColor="accent1" w:themeShade="80"/>
          <w:sz w:val="28"/>
          <w:szCs w:val="28"/>
        </w:rPr>
      </w:pPr>
      <w:r w:rsidRPr="00F745DE">
        <w:rPr>
          <w:rFonts w:ascii="Arial" w:hAnsi="Arial" w:cs="Arial"/>
          <w:b/>
          <w:bCs/>
          <w:color w:val="1F4E79" w:themeColor="accent1" w:themeShade="80"/>
          <w:sz w:val="28"/>
          <w:szCs w:val="28"/>
        </w:rPr>
        <w:t>Post s</w:t>
      </w:r>
      <w:r w:rsidR="001953E6" w:rsidRPr="00F745DE">
        <w:rPr>
          <w:rFonts w:ascii="Arial" w:hAnsi="Arial" w:cs="Arial"/>
          <w:b/>
          <w:bCs/>
          <w:color w:val="1F4E79" w:themeColor="accent1" w:themeShade="80"/>
          <w:sz w:val="28"/>
          <w:szCs w:val="28"/>
        </w:rPr>
        <w:t>ummary</w:t>
      </w:r>
    </w:p>
    <w:p w14:paraId="04B61B7F" w14:textId="54FE2C80" w:rsidR="001953E6" w:rsidRPr="00F745DE" w:rsidRDefault="001953E6" w:rsidP="001C62B9">
      <w:pPr>
        <w:spacing w:before="120" w:after="240"/>
        <w:rPr>
          <w:rFonts w:cs="Arial"/>
          <w:i/>
          <w:lang w:val="en-GB"/>
        </w:rPr>
      </w:pPr>
      <w:r w:rsidRPr="00F745DE">
        <w:rPr>
          <w:rFonts w:cs="Arial"/>
          <w:i/>
          <w:lang w:val="en-GB"/>
        </w:rPr>
        <w:t xml:space="preserve">While the detail of the job outline will differ between </w:t>
      </w:r>
      <w:r w:rsidR="007C6E0F" w:rsidRPr="00F745DE">
        <w:rPr>
          <w:rFonts w:cs="Arial"/>
          <w:i/>
          <w:lang w:val="en-GB"/>
        </w:rPr>
        <w:t xml:space="preserve">different </w:t>
      </w:r>
      <w:r w:rsidRPr="00F745DE">
        <w:rPr>
          <w:rFonts w:cs="Arial"/>
          <w:i/>
          <w:lang w:val="en-GB"/>
        </w:rPr>
        <w:t>employers</w:t>
      </w:r>
      <w:r w:rsidR="007C6E0F" w:rsidRPr="00F745DE">
        <w:rPr>
          <w:rFonts w:cs="Arial"/>
          <w:i/>
          <w:lang w:val="en-GB"/>
        </w:rPr>
        <w:t xml:space="preserve"> and HEIs</w:t>
      </w:r>
      <w:r w:rsidRPr="00F745DE">
        <w:rPr>
          <w:rFonts w:cs="Arial"/>
          <w:i/>
          <w:lang w:val="en-GB"/>
        </w:rPr>
        <w:t>, it is helpful to provide a short overview of the post.</w:t>
      </w:r>
      <w:r w:rsidR="002A379D" w:rsidRPr="00F745DE">
        <w:rPr>
          <w:rFonts w:cs="Arial"/>
          <w:i/>
          <w:lang w:val="en-GB"/>
        </w:rPr>
        <w:t xml:space="preserve"> </w:t>
      </w:r>
      <w:r w:rsidRPr="00F745DE">
        <w:rPr>
          <w:rFonts w:cs="Arial"/>
          <w:i/>
          <w:lang w:val="en-GB"/>
        </w:rPr>
        <w:t xml:space="preserve">This should </w:t>
      </w:r>
      <w:r w:rsidR="0041664C" w:rsidRPr="00F745DE">
        <w:rPr>
          <w:rFonts w:cs="Arial"/>
          <w:i/>
          <w:lang w:val="en-GB"/>
        </w:rPr>
        <w:t xml:space="preserve">give more detail about the areas the </w:t>
      </w:r>
      <w:r w:rsidR="000060D1" w:rsidRPr="00F745DE">
        <w:rPr>
          <w:rFonts w:cs="Arial"/>
          <w:i/>
          <w:lang w:val="en-GB"/>
        </w:rPr>
        <w:t>post-holder</w:t>
      </w:r>
      <w:r w:rsidR="0041664C" w:rsidRPr="00F745DE">
        <w:rPr>
          <w:rFonts w:cs="Arial"/>
          <w:i/>
          <w:lang w:val="en-GB"/>
        </w:rPr>
        <w:t xml:space="preserve"> is expected to influence and the problems they are expected to solve, </w:t>
      </w:r>
      <w:r w:rsidRPr="00F745DE">
        <w:rPr>
          <w:rFonts w:cs="Arial"/>
          <w:i/>
          <w:lang w:val="en-GB"/>
        </w:rPr>
        <w:t>captur</w:t>
      </w:r>
      <w:r w:rsidR="0041664C" w:rsidRPr="00F745DE">
        <w:rPr>
          <w:rFonts w:cs="Arial"/>
          <w:i/>
          <w:lang w:val="en-GB"/>
        </w:rPr>
        <w:t>ing</w:t>
      </w:r>
      <w:r w:rsidRPr="00F745DE">
        <w:rPr>
          <w:rFonts w:cs="Arial"/>
          <w:i/>
          <w:lang w:val="en-GB"/>
        </w:rPr>
        <w:t xml:space="preserve"> and detail</w:t>
      </w:r>
      <w:r w:rsidR="0041664C" w:rsidRPr="00F745DE">
        <w:rPr>
          <w:rFonts w:cs="Arial"/>
          <w:i/>
          <w:lang w:val="en-GB"/>
        </w:rPr>
        <w:t>ing</w:t>
      </w:r>
      <w:r w:rsidRPr="00F745DE">
        <w:rPr>
          <w:rFonts w:cs="Arial"/>
          <w:i/>
          <w:lang w:val="en-GB"/>
        </w:rPr>
        <w:t xml:space="preserve"> the seniority and high level of responsibility of the post and demonstrat</w:t>
      </w:r>
      <w:r w:rsidR="0041664C" w:rsidRPr="00F745DE">
        <w:rPr>
          <w:rFonts w:cs="Arial"/>
          <w:i/>
          <w:lang w:val="en-GB"/>
        </w:rPr>
        <w:t>ing</w:t>
      </w:r>
      <w:r w:rsidRPr="00F745DE">
        <w:rPr>
          <w:rFonts w:cs="Arial"/>
          <w:i/>
          <w:lang w:val="en-GB"/>
        </w:rPr>
        <w:t xml:space="preserve"> that the </w:t>
      </w:r>
      <w:r w:rsidR="000060D1" w:rsidRPr="00F745DE">
        <w:rPr>
          <w:rFonts w:cs="Arial"/>
          <w:i/>
          <w:lang w:val="en-GB"/>
        </w:rPr>
        <w:t>post-holder</w:t>
      </w:r>
      <w:r w:rsidRPr="00F745DE">
        <w:rPr>
          <w:rFonts w:cs="Arial"/>
          <w:i/>
          <w:lang w:val="en-GB"/>
        </w:rPr>
        <w:t xml:space="preserve"> has freedom to act, the breadth of knowledge, skills and expertise required, and the level of mental effort needed.</w:t>
      </w:r>
      <w:r w:rsidR="002A379D" w:rsidRPr="00F745DE">
        <w:rPr>
          <w:rFonts w:cs="Arial"/>
          <w:i/>
          <w:lang w:val="en-GB"/>
        </w:rPr>
        <w:t xml:space="preserve"> </w:t>
      </w:r>
      <w:r w:rsidRPr="00F745DE">
        <w:rPr>
          <w:rFonts w:cs="Arial"/>
          <w:i/>
          <w:lang w:val="en-GB"/>
        </w:rPr>
        <w:t xml:space="preserve">A description of the working relationships, networks and the general working environment should be provided and should indicate whether the </w:t>
      </w:r>
      <w:r w:rsidR="000060D1" w:rsidRPr="00F745DE">
        <w:rPr>
          <w:rFonts w:cs="Arial"/>
          <w:i/>
          <w:lang w:val="en-GB"/>
        </w:rPr>
        <w:t>post-holder</w:t>
      </w:r>
      <w:r w:rsidRPr="00F745DE">
        <w:rPr>
          <w:rFonts w:cs="Arial"/>
          <w:i/>
          <w:lang w:val="en-GB"/>
        </w:rPr>
        <w:t xml:space="preserve"> will be expected to instigate, develop or maintain these.</w:t>
      </w:r>
      <w:r w:rsidR="005931B7" w:rsidRPr="00F745DE">
        <w:rPr>
          <w:rFonts w:cs="Arial"/>
          <w:i/>
          <w:lang w:val="en-GB"/>
        </w:rPr>
        <w:t xml:space="preserve"> </w:t>
      </w:r>
    </w:p>
    <w:p w14:paraId="5AE4AC01" w14:textId="77777777" w:rsidR="00270601" w:rsidRPr="00F745DE" w:rsidRDefault="001953E6" w:rsidP="001C62B9">
      <w:pPr>
        <w:pStyle w:val="ListParagraph"/>
        <w:widowControl w:val="0"/>
        <w:numPr>
          <w:ilvl w:val="0"/>
          <w:numId w:val="38"/>
        </w:numPr>
        <w:spacing w:before="240" w:after="0" w:line="240" w:lineRule="auto"/>
        <w:ind w:left="567" w:hanging="567"/>
        <w:contextualSpacing w:val="0"/>
        <w:rPr>
          <w:rFonts w:ascii="Arial" w:hAnsi="Arial" w:cs="Arial"/>
          <w:b/>
          <w:bCs/>
          <w:color w:val="1F4E79" w:themeColor="accent1" w:themeShade="80"/>
          <w:sz w:val="28"/>
          <w:szCs w:val="28"/>
        </w:rPr>
      </w:pPr>
      <w:r w:rsidRPr="00F745DE">
        <w:rPr>
          <w:rFonts w:ascii="Arial" w:hAnsi="Arial" w:cs="Arial"/>
          <w:b/>
          <w:bCs/>
          <w:color w:val="1F4E79" w:themeColor="accent1" w:themeShade="80"/>
          <w:sz w:val="28"/>
          <w:szCs w:val="28"/>
        </w:rPr>
        <w:t>The employing organisation</w:t>
      </w:r>
      <w:r w:rsidR="00B558C7" w:rsidRPr="00F745DE">
        <w:rPr>
          <w:rFonts w:ascii="Arial" w:hAnsi="Arial" w:cs="Arial"/>
          <w:b/>
          <w:bCs/>
          <w:color w:val="1F4E79" w:themeColor="accent1" w:themeShade="80"/>
          <w:sz w:val="28"/>
          <w:szCs w:val="28"/>
        </w:rPr>
        <w:t xml:space="preserve"> and other organisations within the scope of the work</w:t>
      </w:r>
    </w:p>
    <w:p w14:paraId="11A79049" w14:textId="4FC167A7" w:rsidR="001953E6" w:rsidRPr="00F745DE" w:rsidRDefault="001953E6" w:rsidP="000822C2">
      <w:pPr>
        <w:spacing w:before="120" w:after="240"/>
        <w:rPr>
          <w:rFonts w:cs="Arial"/>
          <w:i/>
          <w:lang w:val="en-GB"/>
        </w:rPr>
      </w:pPr>
      <w:r w:rsidRPr="00F745DE">
        <w:rPr>
          <w:rFonts w:cs="Arial"/>
          <w:i/>
          <w:lang w:val="en-GB"/>
        </w:rPr>
        <w:t>General information about the employing organisation should be inserted here or in an annex.</w:t>
      </w:r>
      <w:r w:rsidR="002A379D" w:rsidRPr="00F745DE">
        <w:rPr>
          <w:rFonts w:cs="Arial"/>
          <w:i/>
          <w:lang w:val="en-GB"/>
        </w:rPr>
        <w:t xml:space="preserve"> </w:t>
      </w:r>
      <w:r w:rsidRPr="00F745DE">
        <w:rPr>
          <w:rFonts w:cs="Arial"/>
          <w:i/>
          <w:lang w:val="en-GB"/>
        </w:rPr>
        <w:t xml:space="preserve">Details should be given about </w:t>
      </w:r>
      <w:r w:rsidR="00FE284E" w:rsidRPr="00F745DE">
        <w:rPr>
          <w:rFonts w:cs="Arial"/>
          <w:i/>
          <w:lang w:val="en-GB"/>
        </w:rPr>
        <w:t xml:space="preserve">relevant HEIs, </w:t>
      </w:r>
      <w:r w:rsidRPr="00F745DE">
        <w:rPr>
          <w:rFonts w:cs="Arial"/>
          <w:i/>
          <w:lang w:val="en-GB"/>
        </w:rPr>
        <w:t xml:space="preserve">local authorities, local NHS organisations and other relevant organisations. </w:t>
      </w:r>
    </w:p>
    <w:p w14:paraId="645705E7" w14:textId="40F9FE75" w:rsidR="00204085" w:rsidRPr="00F745DE" w:rsidRDefault="00FE284E" w:rsidP="008B12C3">
      <w:pPr>
        <w:pStyle w:val="ListParagraph"/>
        <w:widowControl w:val="0"/>
        <w:numPr>
          <w:ilvl w:val="0"/>
          <w:numId w:val="38"/>
        </w:numPr>
        <w:spacing w:before="240" w:after="0" w:line="240" w:lineRule="auto"/>
        <w:ind w:left="567" w:hanging="567"/>
        <w:contextualSpacing w:val="0"/>
        <w:rPr>
          <w:rFonts w:ascii="Arial" w:hAnsi="Arial" w:cs="Arial"/>
          <w:b/>
          <w:bCs/>
          <w:color w:val="1F4E79" w:themeColor="accent1" w:themeShade="80"/>
          <w:sz w:val="28"/>
          <w:szCs w:val="28"/>
        </w:rPr>
      </w:pPr>
      <w:r w:rsidRPr="00F745DE">
        <w:rPr>
          <w:rFonts w:ascii="Arial" w:hAnsi="Arial" w:cs="Arial"/>
          <w:b/>
          <w:bCs/>
          <w:color w:val="1F4E79" w:themeColor="accent1" w:themeShade="80"/>
          <w:sz w:val="28"/>
          <w:szCs w:val="28"/>
        </w:rPr>
        <w:t>The department / directorate</w:t>
      </w:r>
    </w:p>
    <w:p w14:paraId="5883CB90" w14:textId="77777777" w:rsidR="00FE284E" w:rsidRPr="00F745DE" w:rsidRDefault="001953E6" w:rsidP="000822C2">
      <w:pPr>
        <w:spacing w:before="120" w:after="240"/>
        <w:rPr>
          <w:rFonts w:cs="Arial"/>
          <w:i/>
          <w:lang w:val="en-GB"/>
        </w:rPr>
      </w:pPr>
      <w:r w:rsidRPr="00F745DE">
        <w:rPr>
          <w:rFonts w:cs="Arial"/>
          <w:i/>
          <w:lang w:val="en-GB"/>
        </w:rPr>
        <w:t xml:space="preserve">Details of current staffing should be provided, and a copy of the current structure and organisation of </w:t>
      </w:r>
      <w:r w:rsidR="00FE284E" w:rsidRPr="00F745DE">
        <w:rPr>
          <w:rFonts w:cs="Arial"/>
          <w:i/>
          <w:lang w:val="en-GB"/>
        </w:rPr>
        <w:t>the HEI department</w:t>
      </w:r>
      <w:r w:rsidR="002529E3" w:rsidRPr="00F745DE">
        <w:rPr>
          <w:rFonts w:cs="Arial"/>
          <w:i/>
          <w:lang w:val="en-GB"/>
        </w:rPr>
        <w:t>, preferably by means of a chart</w:t>
      </w:r>
      <w:r w:rsidR="00FE284E" w:rsidRPr="00F745DE">
        <w:rPr>
          <w:rFonts w:cs="Arial"/>
          <w:i/>
          <w:lang w:val="en-GB"/>
        </w:rPr>
        <w:t xml:space="preserve"> or organogram</w:t>
      </w:r>
      <w:r w:rsidRPr="00F745DE">
        <w:rPr>
          <w:rFonts w:cs="Arial"/>
          <w:i/>
          <w:lang w:val="en-GB"/>
        </w:rPr>
        <w:t>.</w:t>
      </w:r>
      <w:r w:rsidR="002A379D" w:rsidRPr="00F745DE">
        <w:rPr>
          <w:rFonts w:cs="Arial"/>
          <w:i/>
          <w:lang w:val="en-GB"/>
        </w:rPr>
        <w:t xml:space="preserve"> </w:t>
      </w:r>
    </w:p>
    <w:p w14:paraId="4A3B3EF5" w14:textId="5DBE9EAE" w:rsidR="001953E6" w:rsidRPr="00F745DE" w:rsidRDefault="001953E6" w:rsidP="000822C2">
      <w:pPr>
        <w:spacing w:before="120" w:after="240"/>
        <w:rPr>
          <w:rFonts w:cs="Arial"/>
          <w:i/>
          <w:lang w:val="en-GB"/>
        </w:rPr>
      </w:pPr>
      <w:r w:rsidRPr="00F745DE">
        <w:rPr>
          <w:rFonts w:cs="Arial"/>
          <w:i/>
          <w:lang w:val="en-GB"/>
        </w:rPr>
        <w:t>Line management details and/or team management and any training responsibilities should be included</w:t>
      </w:r>
      <w:r w:rsidR="00FE284E" w:rsidRPr="00F745DE">
        <w:rPr>
          <w:rFonts w:cs="Arial"/>
          <w:i/>
          <w:lang w:val="en-GB"/>
        </w:rPr>
        <w:t xml:space="preserve">. </w:t>
      </w:r>
    </w:p>
    <w:p w14:paraId="548052F2" w14:textId="508C68EF" w:rsidR="00204085" w:rsidRPr="00F745DE" w:rsidRDefault="003A4EE1" w:rsidP="008B12C3">
      <w:pPr>
        <w:pStyle w:val="ListParagraph"/>
        <w:widowControl w:val="0"/>
        <w:numPr>
          <w:ilvl w:val="0"/>
          <w:numId w:val="38"/>
        </w:numPr>
        <w:spacing w:before="240" w:after="0" w:line="240" w:lineRule="auto"/>
        <w:ind w:left="567" w:hanging="567"/>
        <w:contextualSpacing w:val="0"/>
        <w:rPr>
          <w:rFonts w:ascii="Arial" w:hAnsi="Arial" w:cs="Arial"/>
          <w:b/>
          <w:bCs/>
          <w:color w:val="1F4E79" w:themeColor="accent1" w:themeShade="80"/>
          <w:sz w:val="28"/>
          <w:szCs w:val="28"/>
        </w:rPr>
      </w:pPr>
      <w:r w:rsidRPr="00F745DE">
        <w:rPr>
          <w:rFonts w:ascii="Arial" w:hAnsi="Arial" w:cs="Arial"/>
          <w:b/>
          <w:bCs/>
          <w:color w:val="1F4E79" w:themeColor="accent1" w:themeShade="80"/>
          <w:sz w:val="28"/>
          <w:szCs w:val="28"/>
        </w:rPr>
        <w:t xml:space="preserve">The </w:t>
      </w:r>
      <w:r w:rsidR="0052242F" w:rsidRPr="00F745DE">
        <w:rPr>
          <w:rFonts w:ascii="Arial" w:hAnsi="Arial" w:cs="Arial"/>
          <w:b/>
          <w:bCs/>
          <w:color w:val="1F4E79" w:themeColor="accent1" w:themeShade="80"/>
          <w:sz w:val="28"/>
          <w:szCs w:val="28"/>
        </w:rPr>
        <w:t>duties of the post</w:t>
      </w:r>
    </w:p>
    <w:p w14:paraId="34B00F55" w14:textId="77777777" w:rsidR="000822C2" w:rsidRPr="00F745DE" w:rsidRDefault="00053E93" w:rsidP="000822C2">
      <w:pPr>
        <w:spacing w:before="120" w:after="240"/>
        <w:rPr>
          <w:rFonts w:cs="Arial"/>
          <w:i/>
          <w:lang w:val="en-GB"/>
        </w:rPr>
      </w:pPr>
      <w:r w:rsidRPr="00F745DE">
        <w:rPr>
          <w:rFonts w:cs="Arial"/>
          <w:i/>
          <w:lang w:val="en-GB"/>
        </w:rPr>
        <w:t>Th</w:t>
      </w:r>
      <w:r w:rsidR="0052242F" w:rsidRPr="00F745DE">
        <w:rPr>
          <w:rFonts w:cs="Arial"/>
          <w:i/>
          <w:lang w:val="en-GB"/>
        </w:rPr>
        <w:t xml:space="preserve">is section should outline the key duties the postholder will undertake. </w:t>
      </w:r>
      <w:r w:rsidR="000822C2" w:rsidRPr="00F745DE">
        <w:rPr>
          <w:rFonts w:cs="Arial"/>
          <w:i/>
          <w:lang w:val="en-GB"/>
        </w:rPr>
        <w:t xml:space="preserve">The outline provided below is an example and should be added to or deleted as appropriate. </w:t>
      </w:r>
    </w:p>
    <w:p w14:paraId="234D1B41" w14:textId="735A3502" w:rsidR="0052242F" w:rsidRPr="00F745DE" w:rsidRDefault="0052242F" w:rsidP="002607C6">
      <w:pPr>
        <w:rPr>
          <w:rFonts w:cs="Arial"/>
          <w:b/>
          <w:bCs/>
          <w:color w:val="1F4E79" w:themeColor="accent1" w:themeShade="80"/>
          <w:sz w:val="26"/>
          <w:szCs w:val="26"/>
          <w:lang w:val="en-GB"/>
        </w:rPr>
      </w:pPr>
      <w:r w:rsidRPr="00F745DE">
        <w:rPr>
          <w:rFonts w:cs="Arial"/>
          <w:b/>
          <w:bCs/>
          <w:color w:val="1F4E79" w:themeColor="accent1" w:themeShade="80"/>
          <w:sz w:val="26"/>
          <w:szCs w:val="26"/>
          <w:lang w:val="en-GB"/>
        </w:rPr>
        <w:lastRenderedPageBreak/>
        <w:t>Research</w:t>
      </w:r>
    </w:p>
    <w:p w14:paraId="16686AB3" w14:textId="33E14D0C" w:rsidR="00883770" w:rsidRPr="00F745DE" w:rsidRDefault="00883770" w:rsidP="001C62B9">
      <w:pPr>
        <w:spacing w:before="120" w:after="240"/>
        <w:rPr>
          <w:rFonts w:cs="Arial"/>
          <w:i/>
          <w:lang w:val="en-GB"/>
        </w:rPr>
      </w:pPr>
      <w:bookmarkStart w:id="0" w:name="_Hlk80710458"/>
      <w:r w:rsidRPr="00F745DE">
        <w:rPr>
          <w:rFonts w:cs="Arial"/>
          <w:i/>
          <w:lang w:val="en-GB"/>
        </w:rPr>
        <w:t>[Note: the precise scope of the research duties would be determined by the HEI and will depend on the particular area of interest for the post, seniority of grade and other factors].</w:t>
      </w:r>
    </w:p>
    <w:bookmarkEnd w:id="0"/>
    <w:p w14:paraId="678F493D" w14:textId="0AFDDB90"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To pursue high quality research relevant the health and wellbeing of populations, including primary, secondary and tertiary prevention. This includes potential for a range of disciplines and can include applied health and social care research.</w:t>
      </w:r>
    </w:p>
    <w:p w14:paraId="7EF99F05" w14:textId="7E261215"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To publish the results of research in relevant peer reviewed journals, including general and specialist journals of high quality.</w:t>
      </w:r>
    </w:p>
    <w:p w14:paraId="4956784E" w14:textId="47DCCE2C"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To secure external research grant funding to support a developing research programme</w:t>
      </w:r>
      <w:r w:rsidR="00931210" w:rsidRPr="00F745DE">
        <w:rPr>
          <w:rFonts w:ascii="Arial" w:hAnsi="Arial" w:cs="Arial"/>
        </w:rPr>
        <w:t>.</w:t>
      </w:r>
    </w:p>
    <w:p w14:paraId="15521AFC"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To lead or participate in multidisciplinary funding bids in collaboration with others in the medical school.</w:t>
      </w:r>
    </w:p>
    <w:p w14:paraId="09E1F670"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To supervise one or more research fellow(s) and develop multidisciplinary collaborations and build a team, with other research staff as appropriate.</w:t>
      </w:r>
    </w:p>
    <w:p w14:paraId="3CB7E5B4"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 xml:space="preserve">To disseminate research appropriately to diverse audiences, attend and present research findings at academic and professional conferences, and to contribute to the external visibility of the University.  </w:t>
      </w:r>
    </w:p>
    <w:p w14:paraId="5E00D273" w14:textId="155FDC2E" w:rsidR="0052242F"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To develop a research programme that is contextualised in population, with an appropriate ethical and engagement framework.</w:t>
      </w:r>
      <w:r w:rsidR="0052242F" w:rsidRPr="00F745DE">
        <w:rPr>
          <w:rFonts w:ascii="Arial" w:hAnsi="Arial" w:cs="Arial"/>
        </w:rPr>
        <w:t xml:space="preserve">  </w:t>
      </w:r>
    </w:p>
    <w:p w14:paraId="07A1F6C0" w14:textId="77777777" w:rsidR="0052242F" w:rsidRPr="00F745DE" w:rsidRDefault="0052242F" w:rsidP="00363290">
      <w:pPr>
        <w:widowControl w:val="0"/>
        <w:spacing w:before="240" w:after="120"/>
        <w:rPr>
          <w:rFonts w:cs="Arial"/>
          <w:b/>
          <w:bCs/>
          <w:color w:val="1F4E79" w:themeColor="accent1" w:themeShade="80"/>
          <w:sz w:val="26"/>
          <w:szCs w:val="26"/>
          <w:lang w:val="en-GB"/>
        </w:rPr>
      </w:pPr>
      <w:r w:rsidRPr="00F745DE">
        <w:rPr>
          <w:rFonts w:cs="Arial"/>
          <w:b/>
          <w:bCs/>
          <w:color w:val="1F4E79" w:themeColor="accent1" w:themeShade="80"/>
          <w:sz w:val="26"/>
          <w:szCs w:val="26"/>
          <w:lang w:val="en-GB"/>
        </w:rPr>
        <w:t>Teaching and administration</w:t>
      </w:r>
    </w:p>
    <w:p w14:paraId="3F4EB563" w14:textId="49916BA2" w:rsidR="00883770" w:rsidRPr="00F745DE" w:rsidRDefault="00883770" w:rsidP="001C62B9">
      <w:pPr>
        <w:spacing w:before="120" w:after="240"/>
        <w:rPr>
          <w:rFonts w:cs="Arial"/>
          <w:i/>
          <w:lang w:val="en-GB"/>
        </w:rPr>
      </w:pPr>
      <w:r w:rsidRPr="00F745DE">
        <w:rPr>
          <w:rFonts w:cs="Arial"/>
          <w:i/>
          <w:lang w:val="en-GB"/>
        </w:rPr>
        <w:t>[Note: the precise scope of the research duties would be determined by the HEI and will depend on the particular area of interest for the post, seniority of grade and other factors].</w:t>
      </w:r>
    </w:p>
    <w:p w14:paraId="4896D190" w14:textId="6ED24488"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To give lectures, seminars, tutorials and other classes as appropriate and to undertake other academic duties (for example, setting examination questions, marking, invigilation and pastoral support of students) required to sustain the delivery of high-quality teaching.</w:t>
      </w:r>
    </w:p>
    <w:p w14:paraId="5CF24EDD" w14:textId="4A0C3631"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To design and be responsible for the content of specific areas of teaching and learning within the programmes of the medical school, including on-line education</w:t>
      </w:r>
      <w:r w:rsidR="00363290" w:rsidRPr="00F745DE">
        <w:rPr>
          <w:rFonts w:ascii="Arial" w:hAnsi="Arial" w:cs="Arial"/>
        </w:rPr>
        <w:t>.</w:t>
      </w:r>
    </w:p>
    <w:p w14:paraId="56C84E0C"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 xml:space="preserve">To supervise research degree students at </w:t>
      </w:r>
      <w:proofErr w:type="gramStart"/>
      <w:r w:rsidRPr="00F745DE">
        <w:rPr>
          <w:rFonts w:ascii="Arial" w:hAnsi="Arial" w:cs="Arial"/>
        </w:rPr>
        <w:t>masters</w:t>
      </w:r>
      <w:proofErr w:type="gramEnd"/>
      <w:r w:rsidRPr="00F745DE">
        <w:rPr>
          <w:rFonts w:ascii="Arial" w:hAnsi="Arial" w:cs="Arial"/>
        </w:rPr>
        <w:t xml:space="preserve"> and doctoral levels.</w:t>
      </w:r>
    </w:p>
    <w:p w14:paraId="5D67136D"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To maintain a broad knowledge of up-to-date research and scholarship in relevant fields to ensure that teaching meets the standards expected within a research-led University.</w:t>
      </w:r>
    </w:p>
    <w:p w14:paraId="3629B5DB" w14:textId="5A992345" w:rsidR="0052242F"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To contribute to the organisation and administration appropriate to the organisational structure of the University.</w:t>
      </w:r>
    </w:p>
    <w:p w14:paraId="1B02DE6F" w14:textId="09A9FC6A" w:rsidR="0052242F" w:rsidRPr="00F745DE" w:rsidRDefault="0052242F" w:rsidP="00363290">
      <w:pPr>
        <w:widowControl w:val="0"/>
        <w:spacing w:before="240" w:after="120"/>
        <w:rPr>
          <w:rFonts w:cs="Arial"/>
          <w:b/>
          <w:bCs/>
          <w:color w:val="1F4E79" w:themeColor="accent1" w:themeShade="80"/>
          <w:sz w:val="26"/>
          <w:szCs w:val="26"/>
          <w:lang w:val="en-GB"/>
        </w:rPr>
      </w:pPr>
      <w:r w:rsidRPr="00F745DE">
        <w:rPr>
          <w:rFonts w:cs="Arial"/>
          <w:b/>
          <w:bCs/>
          <w:color w:val="1F4E79" w:themeColor="accent1" w:themeShade="80"/>
          <w:sz w:val="26"/>
          <w:szCs w:val="26"/>
          <w:lang w:val="en-GB"/>
        </w:rPr>
        <w:t>Clinical</w:t>
      </w:r>
      <w:r w:rsidR="00883770" w:rsidRPr="00F745DE">
        <w:rPr>
          <w:rFonts w:cs="Arial"/>
          <w:b/>
          <w:bCs/>
          <w:color w:val="1F4E79" w:themeColor="accent1" w:themeShade="80"/>
          <w:sz w:val="26"/>
          <w:szCs w:val="26"/>
          <w:lang w:val="en-GB"/>
        </w:rPr>
        <w:t xml:space="preserve"> / Public Health</w:t>
      </w:r>
      <w:r w:rsidRPr="00F745DE">
        <w:rPr>
          <w:rFonts w:cs="Arial"/>
          <w:b/>
          <w:bCs/>
          <w:color w:val="1F4E79" w:themeColor="accent1" w:themeShade="80"/>
          <w:sz w:val="26"/>
          <w:szCs w:val="26"/>
          <w:lang w:val="en-GB"/>
        </w:rPr>
        <w:t xml:space="preserve"> duties</w:t>
      </w:r>
    </w:p>
    <w:p w14:paraId="6A0C94A9" w14:textId="4D0C7C03"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Public Health / Clinical duties as agreed with the employer providing an honorary consultant contract in areas that will support and complement the research role of the post. This may include offering your capacity to apply the scientific body of knowledge on public health to the polices and services necessary to improve health and to formulate clear practical evidence-based recommendations.</w:t>
      </w:r>
    </w:p>
    <w:p w14:paraId="7FB018CB"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Research will include responsibility for work across organisational and professional boundaries acting as a change agent including managing complexity and overseeing interventions aimed to deliver improvements in population health and wellbeing and evaluating these.</w:t>
      </w:r>
    </w:p>
    <w:p w14:paraId="77C47E21" w14:textId="20902219" w:rsidR="001C62B9" w:rsidRPr="00F745DE" w:rsidRDefault="00883770" w:rsidP="00931210">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 xml:space="preserve">Engage according to expertise with NHS, local authority, regional and national partners to </w:t>
      </w:r>
      <w:r w:rsidRPr="00F745DE">
        <w:rPr>
          <w:rFonts w:ascii="Arial" w:hAnsi="Arial" w:cs="Arial"/>
        </w:rPr>
        <w:lastRenderedPageBreak/>
        <w:t>provide appropriate input for their service and policy development.</w:t>
      </w:r>
    </w:p>
    <w:p w14:paraId="7F5A2CF1" w14:textId="77777777" w:rsidR="0052242F" w:rsidRPr="00F745DE" w:rsidRDefault="0052242F" w:rsidP="001C62B9">
      <w:pPr>
        <w:pStyle w:val="ListParagraph"/>
        <w:widowControl w:val="0"/>
        <w:numPr>
          <w:ilvl w:val="0"/>
          <w:numId w:val="38"/>
        </w:numPr>
        <w:spacing w:before="240" w:after="0" w:line="240" w:lineRule="auto"/>
        <w:ind w:left="567" w:hanging="567"/>
        <w:contextualSpacing w:val="0"/>
        <w:rPr>
          <w:rFonts w:ascii="Arial" w:hAnsi="Arial" w:cs="Arial"/>
          <w:b/>
          <w:bCs/>
          <w:color w:val="1F4E79" w:themeColor="accent1" w:themeShade="80"/>
          <w:sz w:val="28"/>
          <w:szCs w:val="28"/>
        </w:rPr>
      </w:pPr>
      <w:r w:rsidRPr="00F745DE">
        <w:rPr>
          <w:rFonts w:ascii="Arial" w:hAnsi="Arial" w:cs="Arial"/>
          <w:b/>
          <w:bCs/>
          <w:color w:val="1F4E79" w:themeColor="accent1" w:themeShade="80"/>
          <w:sz w:val="28"/>
          <w:szCs w:val="28"/>
        </w:rPr>
        <w:t>Professional obligations</w:t>
      </w:r>
    </w:p>
    <w:p w14:paraId="266A71AD"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 xml:space="preserve">Undertaking annual professional appraisal including completion of a programme of CPD, in accordance with Faculty of Public Health requirements, or other recognised body, and undertake revalidation, audit or other measures required to remain on the GMC/GDC Specialist Register or the UK Public Health (Specialist) Register or </w:t>
      </w:r>
      <w:proofErr w:type="gramStart"/>
      <w:r w:rsidRPr="00F745DE">
        <w:rPr>
          <w:rFonts w:ascii="Arial" w:hAnsi="Arial" w:cs="Arial"/>
        </w:rPr>
        <w:t>other</w:t>
      </w:r>
      <w:proofErr w:type="gramEnd"/>
      <w:r w:rsidRPr="00F745DE">
        <w:rPr>
          <w:rFonts w:ascii="Arial" w:hAnsi="Arial" w:cs="Arial"/>
        </w:rPr>
        <w:t xml:space="preserve"> specialist register as appropriate. </w:t>
      </w:r>
    </w:p>
    <w:p w14:paraId="5C97B7A9"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Contributing appropriately to foundation programme medical and public health specialty training, with a particular focus on research supervision.</w:t>
      </w:r>
    </w:p>
    <w:p w14:paraId="436DC8FA" w14:textId="651B36E2"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Practise in accordance with all relevant sections of the General Medical Council’s Good Medical Practice (if medically qualified) and the Faculty of Public Health’s Good Public Health Practice and UKPHR requirements</w:t>
      </w:r>
      <w:r w:rsidR="00363290" w:rsidRPr="00F745DE">
        <w:rPr>
          <w:rFonts w:ascii="Arial" w:hAnsi="Arial" w:cs="Arial"/>
        </w:rPr>
        <w:t>.</w:t>
      </w:r>
    </w:p>
    <w:p w14:paraId="65C3FEF4"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 xml:space="preserve">Contribute to appropriate professional leadership within the health system, whether medical or other clinical or non-clinical expertise. </w:t>
      </w:r>
    </w:p>
    <w:p w14:paraId="2B18B234"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Foster scientific integrity, freedom of scientific publications, and freedom of debate on health matters, and promote good governance and open government.</w:t>
      </w:r>
    </w:p>
    <w:p w14:paraId="6D794D61"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Contribute to medical professional leadership within the health system.</w:t>
      </w:r>
    </w:p>
    <w:p w14:paraId="619A6FEE" w14:textId="77777777" w:rsidR="00883770" w:rsidRPr="00F745DE" w:rsidRDefault="00883770" w:rsidP="001C62B9">
      <w:pPr>
        <w:pStyle w:val="ListParagraph"/>
        <w:widowControl w:val="0"/>
        <w:numPr>
          <w:ilvl w:val="0"/>
          <w:numId w:val="36"/>
        </w:numPr>
        <w:spacing w:before="120" w:after="120" w:line="240" w:lineRule="auto"/>
        <w:ind w:left="851" w:hanging="284"/>
        <w:contextualSpacing w:val="0"/>
        <w:rPr>
          <w:rFonts w:ascii="Arial" w:hAnsi="Arial" w:cs="Arial"/>
        </w:rPr>
      </w:pPr>
      <w:r w:rsidRPr="00F745DE">
        <w:rPr>
          <w:rFonts w:ascii="Arial" w:hAnsi="Arial" w:cs="Arial"/>
        </w:rPr>
        <w:t>Maintain effective, courageous, and responsible public health advocacy.</w:t>
      </w:r>
    </w:p>
    <w:p w14:paraId="6B5673AE" w14:textId="1E9EBD15" w:rsidR="001953E6" w:rsidRPr="00F745DE" w:rsidRDefault="001953E6" w:rsidP="00931210">
      <w:pPr>
        <w:pStyle w:val="ListParagraph"/>
        <w:ind w:left="0"/>
        <w:rPr>
          <w:rFonts w:ascii="Arial" w:eastAsia="Times New Roman" w:hAnsi="Arial" w:cs="Arial"/>
        </w:rPr>
      </w:pPr>
      <w:r w:rsidRPr="00F745DE">
        <w:rPr>
          <w:rFonts w:ascii="Arial" w:eastAsia="Times New Roman" w:hAnsi="Arial" w:cs="Arial"/>
        </w:rPr>
        <w:t>These professional obligations should be reflected in the job plan. The post-holder may also have external professional responsibilities</w:t>
      </w:r>
      <w:r w:rsidR="0052242F" w:rsidRPr="00F745DE">
        <w:rPr>
          <w:rFonts w:ascii="Arial" w:eastAsia="Times New Roman" w:hAnsi="Arial" w:cs="Arial"/>
        </w:rPr>
        <w:t xml:space="preserve">, for example </w:t>
      </w:r>
      <w:r w:rsidRPr="00F745DE">
        <w:rPr>
          <w:rFonts w:ascii="Arial" w:eastAsia="Times New Roman" w:hAnsi="Arial" w:cs="Arial"/>
        </w:rPr>
        <w:t xml:space="preserve">in respect of training or work for the Faculty of Public Health. </w:t>
      </w:r>
      <w:r w:rsidR="00883770" w:rsidRPr="00F745DE">
        <w:rPr>
          <w:rFonts w:ascii="Arial" w:eastAsia="Times New Roman" w:hAnsi="Arial" w:cs="Arial"/>
        </w:rPr>
        <w:t xml:space="preserve">The core competencies set out by the Faculty of Public Health below should also be noted. </w:t>
      </w:r>
      <w:r w:rsidRPr="00F745DE">
        <w:rPr>
          <w:rFonts w:ascii="Arial" w:eastAsia="Times New Roman" w:hAnsi="Arial" w:cs="Arial"/>
        </w:rPr>
        <w:t>Time allocation for these additional responsibilities will need to be agreed with the line manager.</w:t>
      </w:r>
    </w:p>
    <w:p w14:paraId="674CAFE1" w14:textId="77777777" w:rsidR="002607C6" w:rsidRPr="00F745DE" w:rsidRDefault="002607C6" w:rsidP="002607C6">
      <w:pPr>
        <w:spacing w:before="120" w:after="240"/>
        <w:rPr>
          <w:rFonts w:cs="Arial"/>
          <w:i/>
          <w:lang w:val="en-GB"/>
        </w:rPr>
      </w:pPr>
      <w:r w:rsidRPr="00F745DE">
        <w:rPr>
          <w:rFonts w:cs="Arial"/>
          <w:i/>
          <w:lang w:val="en-GB"/>
        </w:rPr>
        <w:t>Public health consultants work as system leaders at strategic or senior management level or at a senior level of expertise such as epidemiology or health protection. The combination of leadership and managerial skills together with high level of technical skills and knowledge gives them a unique skill set essential for improving the health and wellbeing of populations.</w:t>
      </w:r>
    </w:p>
    <w:p w14:paraId="040440E7" w14:textId="77777777" w:rsidR="002607C6" w:rsidRPr="00F745DE" w:rsidRDefault="002607C6" w:rsidP="002607C6">
      <w:pPr>
        <w:spacing w:before="120" w:after="240"/>
        <w:rPr>
          <w:rFonts w:cs="Arial"/>
          <w:i/>
          <w:lang w:val="en-GB"/>
        </w:rPr>
      </w:pPr>
      <w:r w:rsidRPr="00F745DE">
        <w:rPr>
          <w:rFonts w:cs="Arial"/>
          <w:i/>
          <w:lang w:val="en-GB"/>
        </w:rPr>
        <w:t xml:space="preserve">They must be qualified as a public health specialist and be on the GMC, GDC or UKPHR specialist register. </w:t>
      </w:r>
    </w:p>
    <w:p w14:paraId="5671D030" w14:textId="0E7AE3C0" w:rsidR="002607C6" w:rsidRPr="00F745DE" w:rsidRDefault="002607C6" w:rsidP="002607C6">
      <w:pPr>
        <w:spacing w:before="120" w:after="240"/>
        <w:rPr>
          <w:rFonts w:cs="Arial"/>
          <w:i/>
          <w:lang w:val="en-GB"/>
        </w:rPr>
      </w:pPr>
      <w:r w:rsidRPr="00F745DE">
        <w:rPr>
          <w:rFonts w:cs="Arial"/>
          <w:i/>
          <w:lang w:val="en-GB"/>
        </w:rPr>
        <w:t>Consultants have the same professional status irrespective of local line management arrangements and have experience in various areas of public health practice</w:t>
      </w:r>
    </w:p>
    <w:p w14:paraId="16289E37" w14:textId="77777777" w:rsidR="00613233" w:rsidRPr="00F745DE" w:rsidRDefault="00613233" w:rsidP="00931210">
      <w:pPr>
        <w:pStyle w:val="ListParagraph"/>
        <w:ind w:left="0"/>
        <w:rPr>
          <w:rFonts w:ascii="Arial" w:eastAsia="Times New Roman" w:hAnsi="Arial" w:cs="Arial"/>
        </w:rPr>
      </w:pPr>
    </w:p>
    <w:p w14:paraId="47B86333" w14:textId="7DA1C225" w:rsidR="009C111E" w:rsidRPr="00F745DE" w:rsidRDefault="009C111E" w:rsidP="001C62B9">
      <w:pPr>
        <w:pStyle w:val="ListParagraph"/>
        <w:widowControl w:val="0"/>
        <w:numPr>
          <w:ilvl w:val="0"/>
          <w:numId w:val="38"/>
        </w:numPr>
        <w:spacing w:before="240" w:after="0" w:line="240" w:lineRule="auto"/>
        <w:ind w:left="567" w:hanging="567"/>
        <w:contextualSpacing w:val="0"/>
        <w:rPr>
          <w:rFonts w:ascii="Arial" w:hAnsi="Arial" w:cs="Arial"/>
          <w:b/>
          <w:bCs/>
          <w:color w:val="1F4E79" w:themeColor="accent1" w:themeShade="80"/>
          <w:sz w:val="28"/>
          <w:szCs w:val="28"/>
        </w:rPr>
      </w:pPr>
      <w:r w:rsidRPr="00F745DE">
        <w:rPr>
          <w:rFonts w:ascii="Arial" w:hAnsi="Arial" w:cs="Arial"/>
          <w:b/>
          <w:bCs/>
          <w:color w:val="1F4E79" w:themeColor="accent1" w:themeShade="80"/>
          <w:sz w:val="28"/>
          <w:szCs w:val="28"/>
        </w:rPr>
        <w:t>Wellbeing</w:t>
      </w:r>
    </w:p>
    <w:p w14:paraId="07C284F5" w14:textId="77777777" w:rsidR="009C111E" w:rsidRPr="00F745DE" w:rsidRDefault="009C111E" w:rsidP="00931210">
      <w:pPr>
        <w:pStyle w:val="ListParagraph"/>
        <w:ind w:left="0"/>
        <w:rPr>
          <w:rFonts w:ascii="Arial" w:eastAsia="Times New Roman" w:hAnsi="Arial" w:cs="Arial"/>
        </w:rPr>
      </w:pPr>
      <w:r w:rsidRPr="00F745DE">
        <w:rPr>
          <w:rFonts w:ascii="Arial" w:eastAsia="Times New Roman" w:hAnsi="Arial" w:cs="Arial"/>
        </w:rPr>
        <w:t>Effective local occupational health support (confidential, includes modalities of self-referral, promoted regularly at induction and when in post) e.g. The post holder should usually have access to the Occupational Health (OH) Department, (full address, telephone and email). The OH team should have access to a physiotherapist and psychologist, and the post holder may self-refer or be referred through their manager. The post holder should have access to counselling, including face-to-face, and well as legal and financial support and other wellbeing resources. Information about Occupational Health will be disseminated at the induction and regularly when in post to ensure the post holder has timely access to the details if help seeking is necessary.</w:t>
      </w:r>
    </w:p>
    <w:p w14:paraId="708A3024" w14:textId="77777777" w:rsidR="00613233" w:rsidRPr="00F745DE" w:rsidRDefault="00613233" w:rsidP="00931210">
      <w:pPr>
        <w:pStyle w:val="ListParagraph"/>
        <w:ind w:left="0"/>
        <w:rPr>
          <w:rFonts w:ascii="Arial" w:eastAsia="Times New Roman" w:hAnsi="Arial" w:cs="Arial"/>
        </w:rPr>
      </w:pPr>
    </w:p>
    <w:p w14:paraId="4C734DEC" w14:textId="77777777" w:rsidR="009C111E" w:rsidRPr="00F745DE" w:rsidRDefault="009C111E" w:rsidP="00931210">
      <w:pPr>
        <w:pStyle w:val="ListParagraph"/>
        <w:ind w:left="0"/>
        <w:rPr>
          <w:rFonts w:ascii="Arial" w:eastAsia="Times New Roman" w:hAnsi="Arial" w:cs="Arial"/>
        </w:rPr>
      </w:pPr>
      <w:r w:rsidRPr="00F745DE">
        <w:rPr>
          <w:rFonts w:ascii="Arial" w:eastAsia="Times New Roman" w:hAnsi="Arial" w:cs="Arial"/>
        </w:rPr>
        <w:t>Availability of local initiatives/resources that promote workforce wellbeing (for example, self- care, work-life balance, stress management, coaching/mentoring, peer group support).</w:t>
      </w:r>
    </w:p>
    <w:p w14:paraId="0C1AF18C" w14:textId="22794683" w:rsidR="009C111E" w:rsidRPr="00F745DE" w:rsidRDefault="009C111E" w:rsidP="006223E2">
      <w:pPr>
        <w:pStyle w:val="ListParagraph"/>
        <w:widowControl w:val="0"/>
        <w:numPr>
          <w:ilvl w:val="0"/>
          <w:numId w:val="38"/>
        </w:numPr>
        <w:spacing w:before="240" w:after="0" w:line="240" w:lineRule="auto"/>
        <w:ind w:left="567" w:hanging="567"/>
        <w:contextualSpacing w:val="0"/>
        <w:rPr>
          <w:rFonts w:ascii="Arial" w:hAnsi="Arial" w:cs="Arial"/>
          <w:b/>
          <w:bCs/>
          <w:color w:val="1F4E79" w:themeColor="accent1" w:themeShade="80"/>
          <w:sz w:val="28"/>
          <w:szCs w:val="28"/>
        </w:rPr>
      </w:pPr>
      <w:r w:rsidRPr="00F745DE">
        <w:rPr>
          <w:rFonts w:ascii="Arial" w:hAnsi="Arial" w:cs="Arial"/>
          <w:b/>
          <w:bCs/>
          <w:color w:val="1F4E79" w:themeColor="accent1" w:themeShade="80"/>
          <w:sz w:val="28"/>
          <w:szCs w:val="28"/>
        </w:rPr>
        <w:lastRenderedPageBreak/>
        <w:t xml:space="preserve">Personal qualities </w:t>
      </w:r>
    </w:p>
    <w:p w14:paraId="3A387D4E" w14:textId="77777777" w:rsidR="009C111E" w:rsidRPr="00F745DE" w:rsidRDefault="009C111E" w:rsidP="009C111E">
      <w:pPr>
        <w:pStyle w:val="ListParagraph"/>
        <w:ind w:left="0"/>
        <w:rPr>
          <w:rFonts w:ascii="Arial" w:eastAsia="Times New Roman" w:hAnsi="Arial" w:cs="Arial"/>
        </w:rPr>
      </w:pPr>
      <w:r w:rsidRPr="00F745DE">
        <w:rPr>
          <w:rFonts w:ascii="Arial" w:eastAsia="Times New Roman" w:hAnsi="Arial" w:cs="Arial"/>
        </w:rPr>
        <w:t>The strategic objective of the post is to (repeat the strategic responsibility)</w:t>
      </w:r>
    </w:p>
    <w:p w14:paraId="7C6BA5C5" w14:textId="77777777" w:rsidR="009C111E" w:rsidRPr="00F745DE" w:rsidRDefault="009C111E" w:rsidP="009C111E">
      <w:pPr>
        <w:pStyle w:val="ListParagraph"/>
        <w:ind w:left="0"/>
        <w:rPr>
          <w:rFonts w:ascii="Arial" w:eastAsia="Times New Roman" w:hAnsi="Arial" w:cs="Arial"/>
        </w:rPr>
      </w:pPr>
    </w:p>
    <w:p w14:paraId="6787CD4F" w14:textId="46FB8560" w:rsidR="009C111E" w:rsidRPr="00F745DE" w:rsidRDefault="009C111E" w:rsidP="009C111E">
      <w:pPr>
        <w:pStyle w:val="ListParagraph"/>
        <w:ind w:left="0"/>
        <w:rPr>
          <w:rFonts w:ascii="Arial" w:hAnsi="Arial" w:cs="Arial"/>
        </w:rPr>
      </w:pPr>
      <w:r w:rsidRPr="00F745DE">
        <w:rPr>
          <w:rFonts w:ascii="Arial" w:eastAsia="Times New Roman" w:hAnsi="Arial" w:cs="Arial"/>
        </w:rPr>
        <w:t>The post-holder will deal with complex public health and wellbeing challenges in a multi-organisational environment with widely differing governance and finance system and organizational cultures. It is expected that the post-holder will be able to cope with such circumstances as well as multiple and changing demands, and to meet tight deadlines. A high level of intellectual rigour, political awareness and negotiation and motivation skills as well as flexibility and sensitivity are required. The post holder will advise the health and wellbeing board and make recommendations regarding services, residents’ care and wider determinants of health and therefore a high level of tact, diplomacy and leadership is required including the ability work within the local political and at the same time maintain the ability to challenge and advocate for effective working and on specific</w:t>
      </w:r>
      <w:r w:rsidRPr="00F745DE">
        <w:rPr>
          <w:rFonts w:ascii="Arial" w:hAnsi="Arial" w:cs="Arial"/>
        </w:rPr>
        <w:t xml:space="preserve"> </w:t>
      </w:r>
      <w:r w:rsidRPr="00F745DE">
        <w:rPr>
          <w:rFonts w:ascii="Arial" w:eastAsia="Times New Roman" w:hAnsi="Arial" w:cs="Arial"/>
        </w:rPr>
        <w:t xml:space="preserve">issues </w:t>
      </w:r>
      <w:proofErr w:type="gramStart"/>
      <w:r w:rsidRPr="00F745DE">
        <w:rPr>
          <w:rFonts w:ascii="Arial" w:eastAsia="Times New Roman" w:hAnsi="Arial" w:cs="Arial"/>
        </w:rPr>
        <w:t>in order to</w:t>
      </w:r>
      <w:proofErr w:type="gramEnd"/>
      <w:r w:rsidRPr="00F745DE">
        <w:rPr>
          <w:rFonts w:ascii="Arial" w:eastAsia="Times New Roman" w:hAnsi="Arial" w:cs="Arial"/>
        </w:rPr>
        <w:t xml:space="preserve"> achieve public health outcomes. The achievement of public health outcomes and the successful pursuit of change are the purpose of the job and the metric against which performance will be assessed.</w:t>
      </w:r>
    </w:p>
    <w:p w14:paraId="088E9F83" w14:textId="77777777" w:rsidR="009C111E" w:rsidRPr="00F745DE" w:rsidRDefault="009C111E" w:rsidP="009C111E">
      <w:pPr>
        <w:pStyle w:val="ListParagraph"/>
        <w:rPr>
          <w:rFonts w:ascii="Arial" w:hAnsi="Arial" w:cs="Arial"/>
        </w:rPr>
      </w:pPr>
    </w:p>
    <w:p w14:paraId="6E8A38F8" w14:textId="77777777" w:rsidR="009C111E" w:rsidRPr="00F745DE" w:rsidRDefault="009C111E" w:rsidP="0052242F">
      <w:pPr>
        <w:spacing w:before="240" w:after="120"/>
        <w:rPr>
          <w:rFonts w:cs="Arial"/>
          <w:lang w:val="en-GB"/>
        </w:rPr>
      </w:pPr>
    </w:p>
    <w:p w14:paraId="0C90197B" w14:textId="2E0E4160" w:rsidR="004D204E" w:rsidRPr="00F745DE" w:rsidRDefault="000E55D5" w:rsidP="005931B7">
      <w:pPr>
        <w:widowControl w:val="0"/>
        <w:spacing w:before="120" w:after="120"/>
        <w:jc w:val="center"/>
        <w:rPr>
          <w:rFonts w:cs="Arial"/>
          <w:b/>
          <w:bCs/>
          <w:color w:val="1F4E79" w:themeColor="accent1" w:themeShade="80"/>
          <w:sz w:val="24"/>
          <w:szCs w:val="24"/>
          <w:lang w:val="en-GB"/>
        </w:rPr>
      </w:pPr>
      <w:r w:rsidRPr="00F745DE">
        <w:rPr>
          <w:rFonts w:cs="Arial"/>
          <w:b/>
          <w:u w:val="single"/>
          <w:lang w:val="en-GB"/>
        </w:rPr>
        <w:br w:type="page"/>
      </w:r>
      <w:r w:rsidR="005931B7" w:rsidRPr="00F745DE">
        <w:rPr>
          <w:rFonts w:cs="Arial"/>
          <w:b/>
          <w:color w:val="1F4E79" w:themeColor="accent1" w:themeShade="80"/>
          <w:sz w:val="24"/>
          <w:szCs w:val="24"/>
          <w:u w:val="single"/>
          <w:lang w:val="en-GB"/>
        </w:rPr>
        <w:lastRenderedPageBreak/>
        <w:t xml:space="preserve">Appendix 1: </w:t>
      </w:r>
      <w:r w:rsidR="004D204E" w:rsidRPr="00F745DE">
        <w:rPr>
          <w:rFonts w:cs="Arial"/>
          <w:b/>
          <w:bCs/>
          <w:color w:val="1F4E79" w:themeColor="accent1" w:themeShade="80"/>
          <w:sz w:val="24"/>
          <w:szCs w:val="24"/>
          <w:lang w:val="en-GB"/>
        </w:rPr>
        <w:t>FACULTY OF PUBLIC HEALTH COMPETENCIES</w:t>
      </w:r>
    </w:p>
    <w:p w14:paraId="0F2E31B1" w14:textId="03036937" w:rsidR="003B512E" w:rsidRPr="00F745DE" w:rsidRDefault="003B512E" w:rsidP="00496BA5">
      <w:pPr>
        <w:widowControl w:val="0"/>
        <w:spacing w:before="120" w:after="120"/>
        <w:jc w:val="center"/>
        <w:rPr>
          <w:rFonts w:cs="Arial"/>
          <w:b/>
          <w:bCs/>
          <w:color w:val="1F4E79" w:themeColor="accent1" w:themeShade="80"/>
          <w:sz w:val="24"/>
          <w:szCs w:val="24"/>
          <w:lang w:val="en-GB"/>
        </w:rPr>
      </w:pPr>
      <w:r w:rsidRPr="00F745DE">
        <w:rPr>
          <w:rFonts w:cs="Arial"/>
          <w:b/>
          <w:bCs/>
          <w:color w:val="1F4E79" w:themeColor="accent1" w:themeShade="80"/>
          <w:sz w:val="24"/>
          <w:szCs w:val="24"/>
          <w:lang w:val="en-GB"/>
        </w:rPr>
        <w:t>(</w:t>
      </w:r>
      <w:r w:rsidR="005931B7" w:rsidRPr="00F745DE">
        <w:rPr>
          <w:rFonts w:cs="Arial"/>
          <w:b/>
          <w:bCs/>
          <w:color w:val="1F4E79" w:themeColor="accent1" w:themeShade="80"/>
          <w:sz w:val="24"/>
          <w:szCs w:val="24"/>
          <w:lang w:val="en-GB"/>
        </w:rPr>
        <w:t>Based on the 2022</w:t>
      </w:r>
      <w:r w:rsidRPr="00F745DE">
        <w:rPr>
          <w:rFonts w:cs="Arial"/>
          <w:b/>
          <w:bCs/>
          <w:color w:val="1F4E79" w:themeColor="accent1" w:themeShade="80"/>
          <w:sz w:val="24"/>
          <w:szCs w:val="24"/>
          <w:lang w:val="en-GB"/>
        </w:rPr>
        <w:t xml:space="preserve"> PH Specialty Training Curriculum)</w:t>
      </w:r>
    </w:p>
    <w:p w14:paraId="6259EF0C" w14:textId="77777777" w:rsidR="00877115" w:rsidRPr="00F745DE" w:rsidRDefault="00362C9A" w:rsidP="00496BA5">
      <w:pPr>
        <w:spacing w:before="120" w:after="60"/>
        <w:rPr>
          <w:rFonts w:cs="Arial"/>
          <w:b/>
          <w:i/>
          <w:lang w:val="en-GB"/>
        </w:rPr>
      </w:pPr>
      <w:r w:rsidRPr="00F745DE">
        <w:rPr>
          <w:rFonts w:cs="Arial"/>
          <w:b/>
          <w:i/>
          <w:lang w:val="en-GB"/>
        </w:rPr>
        <w:t>Use of public health intelligence to survey and assess a population’s health and wellbeing</w:t>
      </w:r>
    </w:p>
    <w:p w14:paraId="5197B1C5" w14:textId="77777777" w:rsidR="005931B7" w:rsidRPr="00F745DE" w:rsidRDefault="005931B7" w:rsidP="00496BA5">
      <w:pPr>
        <w:autoSpaceDE w:val="0"/>
        <w:autoSpaceDN w:val="0"/>
        <w:adjustRightInd w:val="0"/>
        <w:spacing w:after="120"/>
        <w:rPr>
          <w:rFonts w:cs="Arial"/>
          <w:bCs/>
          <w:iCs/>
          <w:lang w:val="en-GB" w:eastAsia="en-GB"/>
        </w:rPr>
      </w:pPr>
      <w:r w:rsidRPr="00F745DE">
        <w:rPr>
          <w:rFonts w:cs="Arial"/>
          <w:bCs/>
          <w:iCs/>
          <w:lang w:val="en-GB" w:eastAsia="en-GB"/>
        </w:rPr>
        <w:t>To be able to synthesise data from multiple sources on the surveillance or assessment of a population’s health and wellbeing and on the wider environment, so that the evidence can be communicated clearly and inform action planning to improve population health outcomes.</w:t>
      </w:r>
    </w:p>
    <w:p w14:paraId="1D5C0DCB" w14:textId="579F8F9F" w:rsidR="001953E6" w:rsidRPr="00F745DE" w:rsidRDefault="001953E6" w:rsidP="00496BA5">
      <w:pPr>
        <w:spacing w:before="120" w:after="60"/>
        <w:rPr>
          <w:rFonts w:cs="Arial"/>
          <w:b/>
          <w:i/>
          <w:lang w:val="en-GB"/>
        </w:rPr>
      </w:pPr>
      <w:r w:rsidRPr="00F745DE">
        <w:rPr>
          <w:rFonts w:cs="Arial"/>
          <w:b/>
          <w:i/>
          <w:lang w:val="en-GB"/>
        </w:rPr>
        <w:t>Assessing the evidence of effectiveness of interventions, programmes and services</w:t>
      </w:r>
      <w:r w:rsidR="00362C9A" w:rsidRPr="00F745DE">
        <w:rPr>
          <w:rFonts w:cs="Arial"/>
          <w:b/>
          <w:i/>
          <w:lang w:val="en-GB"/>
        </w:rPr>
        <w:t xml:space="preserve"> intended to improve the health or wellbeing of individuals or populations</w:t>
      </w:r>
    </w:p>
    <w:p w14:paraId="6F89EFF9" w14:textId="77777777" w:rsidR="001C4C61" w:rsidRPr="00F745DE" w:rsidRDefault="00A944FE" w:rsidP="00496BA5">
      <w:pPr>
        <w:autoSpaceDE w:val="0"/>
        <w:autoSpaceDN w:val="0"/>
        <w:adjustRightInd w:val="0"/>
        <w:spacing w:after="120"/>
        <w:rPr>
          <w:rFonts w:cs="Arial"/>
          <w:bCs/>
          <w:iCs/>
          <w:lang w:val="en-GB" w:eastAsia="en-GB"/>
        </w:rPr>
      </w:pPr>
      <w:r w:rsidRPr="00F745DE">
        <w:rPr>
          <w:rFonts w:cs="Arial"/>
          <w:bCs/>
          <w:iCs/>
          <w:lang w:val="en-GB" w:eastAsia="en-GB"/>
        </w:rPr>
        <w:t>To be able to use a range of resources to generate and communicate appropriately evidenced and informed recommendations for improving population health across operational and strategic health and care settings.</w:t>
      </w:r>
    </w:p>
    <w:p w14:paraId="2A69860B" w14:textId="77777777" w:rsidR="001953E6" w:rsidRPr="00F745DE" w:rsidRDefault="001953E6" w:rsidP="00496BA5">
      <w:pPr>
        <w:spacing w:before="120" w:after="60"/>
        <w:rPr>
          <w:rFonts w:cs="Arial"/>
          <w:b/>
          <w:i/>
          <w:lang w:val="en-GB"/>
        </w:rPr>
      </w:pPr>
      <w:r w:rsidRPr="00F745DE">
        <w:rPr>
          <w:rFonts w:cs="Arial"/>
          <w:b/>
          <w:i/>
          <w:lang w:val="en-GB"/>
        </w:rPr>
        <w:t xml:space="preserve">Policy and strategy development and implementation </w:t>
      </w:r>
    </w:p>
    <w:p w14:paraId="2D482CDD" w14:textId="77777777" w:rsidR="001953E6" w:rsidRPr="00F745DE" w:rsidRDefault="00A944FE" w:rsidP="0052242F">
      <w:pPr>
        <w:autoSpaceDE w:val="0"/>
        <w:autoSpaceDN w:val="0"/>
        <w:adjustRightInd w:val="0"/>
        <w:spacing w:after="120"/>
        <w:rPr>
          <w:rFonts w:cs="Arial"/>
          <w:bCs/>
          <w:iCs/>
          <w:lang w:val="en-GB" w:eastAsia="en-GB"/>
        </w:rPr>
      </w:pPr>
      <w:r w:rsidRPr="00F745DE">
        <w:rPr>
          <w:rFonts w:cs="Arial"/>
          <w:bCs/>
          <w:iCs/>
          <w:lang w:val="en-GB" w:eastAsia="en-GB"/>
        </w:rPr>
        <w:t>To be able to influence and contribute to the development of policy as well as lead the development and implementation of a strategy.</w:t>
      </w:r>
    </w:p>
    <w:p w14:paraId="746E2751" w14:textId="77777777" w:rsidR="001C4C61" w:rsidRPr="00F745DE" w:rsidRDefault="00362C9A" w:rsidP="00496BA5">
      <w:pPr>
        <w:spacing w:before="120" w:after="60"/>
        <w:rPr>
          <w:rFonts w:cs="Arial"/>
          <w:b/>
          <w:i/>
          <w:lang w:val="en-GB"/>
        </w:rPr>
      </w:pPr>
      <w:r w:rsidRPr="00F745DE">
        <w:rPr>
          <w:rFonts w:cs="Arial"/>
          <w:b/>
          <w:i/>
          <w:lang w:val="en-GB"/>
        </w:rPr>
        <w:t>Strategic l</w:t>
      </w:r>
      <w:r w:rsidR="001953E6" w:rsidRPr="00F745DE">
        <w:rPr>
          <w:rFonts w:cs="Arial"/>
          <w:b/>
          <w:i/>
          <w:lang w:val="en-GB"/>
        </w:rPr>
        <w:t>eadership and collaborative working for health</w:t>
      </w:r>
    </w:p>
    <w:p w14:paraId="40E73E25" w14:textId="77777777" w:rsidR="00A944FE" w:rsidRPr="00F745DE" w:rsidRDefault="00A944FE" w:rsidP="0052242F">
      <w:pPr>
        <w:autoSpaceDE w:val="0"/>
        <w:autoSpaceDN w:val="0"/>
        <w:adjustRightInd w:val="0"/>
        <w:spacing w:after="120"/>
        <w:rPr>
          <w:rFonts w:cs="Arial"/>
          <w:bCs/>
          <w:iCs/>
          <w:lang w:val="en-GB" w:eastAsia="en-GB"/>
        </w:rPr>
      </w:pPr>
      <w:r w:rsidRPr="00F745DE">
        <w:rPr>
          <w:rFonts w:cs="Arial"/>
          <w:bCs/>
          <w:iCs/>
          <w:lang w:val="en-GB" w:eastAsia="en-GB"/>
        </w:rPr>
        <w:t>To use a range of effective strategic leadership, organisational and management skills, in a variety of complex public health situations and contexts, dealing effectively with uncertainty and the unexpected to achieve public health goals.</w:t>
      </w:r>
    </w:p>
    <w:p w14:paraId="1B1D0636" w14:textId="77777777" w:rsidR="000E55D5" w:rsidRPr="00F745DE" w:rsidRDefault="001953E6" w:rsidP="00496BA5">
      <w:pPr>
        <w:spacing w:before="120" w:after="60"/>
        <w:rPr>
          <w:rFonts w:cs="Arial"/>
          <w:b/>
          <w:i/>
          <w:lang w:val="en-GB"/>
        </w:rPr>
      </w:pPr>
      <w:r w:rsidRPr="00F745DE">
        <w:rPr>
          <w:rFonts w:cs="Arial"/>
          <w:b/>
          <w:i/>
          <w:lang w:val="en-GB"/>
        </w:rPr>
        <w:t>Health Improvement</w:t>
      </w:r>
      <w:r w:rsidR="00877115" w:rsidRPr="00F745DE">
        <w:rPr>
          <w:rFonts w:cs="Arial"/>
          <w:b/>
          <w:i/>
          <w:lang w:val="en-GB"/>
        </w:rPr>
        <w:t xml:space="preserve">, </w:t>
      </w:r>
      <w:r w:rsidR="00362C9A" w:rsidRPr="00F745DE">
        <w:rPr>
          <w:rFonts w:cs="Arial"/>
          <w:b/>
          <w:i/>
          <w:lang w:val="en-GB"/>
        </w:rPr>
        <w:t xml:space="preserve">Determinants of </w:t>
      </w:r>
      <w:r w:rsidR="004D204E" w:rsidRPr="00F745DE">
        <w:rPr>
          <w:rFonts w:cs="Arial"/>
          <w:b/>
          <w:i/>
          <w:lang w:val="en-GB"/>
        </w:rPr>
        <w:t xml:space="preserve">Health </w:t>
      </w:r>
      <w:r w:rsidR="00877115" w:rsidRPr="00F745DE">
        <w:rPr>
          <w:rFonts w:cs="Arial"/>
          <w:b/>
          <w:i/>
          <w:lang w:val="en-GB"/>
        </w:rPr>
        <w:t xml:space="preserve">and </w:t>
      </w:r>
      <w:r w:rsidR="00362C9A" w:rsidRPr="00F745DE">
        <w:rPr>
          <w:rFonts w:cs="Arial"/>
          <w:b/>
          <w:i/>
          <w:lang w:val="en-GB"/>
        </w:rPr>
        <w:t>Health Communications</w:t>
      </w:r>
    </w:p>
    <w:p w14:paraId="6BFCA8B4" w14:textId="77777777" w:rsidR="005931B7" w:rsidRPr="00F745DE" w:rsidRDefault="005931B7" w:rsidP="00496BA5">
      <w:pPr>
        <w:autoSpaceDE w:val="0"/>
        <w:autoSpaceDN w:val="0"/>
        <w:adjustRightInd w:val="0"/>
        <w:spacing w:after="120"/>
        <w:rPr>
          <w:rFonts w:cs="Arial"/>
          <w:bCs/>
          <w:iCs/>
          <w:lang w:val="en-GB" w:eastAsia="en-GB"/>
        </w:rPr>
      </w:pPr>
      <w:r w:rsidRPr="00F745DE">
        <w:rPr>
          <w:rFonts w:cs="Arial"/>
          <w:bCs/>
          <w:iCs/>
          <w:lang w:val="en-GB" w:eastAsia="en-GB"/>
        </w:rPr>
        <w:t>To influence and act on the broad 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p>
    <w:p w14:paraId="75DDCC4D" w14:textId="53551F4D" w:rsidR="001953E6" w:rsidRPr="00F745DE" w:rsidRDefault="001953E6" w:rsidP="00496BA5">
      <w:pPr>
        <w:spacing w:before="120" w:after="60"/>
        <w:rPr>
          <w:rFonts w:cs="Arial"/>
          <w:b/>
          <w:i/>
          <w:lang w:val="en-GB"/>
        </w:rPr>
      </w:pPr>
      <w:r w:rsidRPr="00F745DE">
        <w:rPr>
          <w:rFonts w:cs="Arial"/>
          <w:b/>
          <w:i/>
          <w:lang w:val="en-GB"/>
        </w:rPr>
        <w:t xml:space="preserve">Health Protection </w:t>
      </w:r>
    </w:p>
    <w:p w14:paraId="78D8EC40" w14:textId="77777777" w:rsidR="005931B7" w:rsidRPr="00F745DE" w:rsidRDefault="005931B7" w:rsidP="00496BA5">
      <w:pPr>
        <w:autoSpaceDE w:val="0"/>
        <w:autoSpaceDN w:val="0"/>
        <w:adjustRightInd w:val="0"/>
        <w:spacing w:after="120"/>
        <w:rPr>
          <w:rFonts w:cs="Arial"/>
          <w:bCs/>
          <w:iCs/>
          <w:lang w:val="en-GB" w:eastAsia="en-GB"/>
        </w:rPr>
      </w:pPr>
      <w:r w:rsidRPr="00F745DE">
        <w:rPr>
          <w:rFonts w:cs="Arial"/>
          <w:bCs/>
          <w:iCs/>
          <w:lang w:val="en-GB" w:eastAsia="en-GB"/>
        </w:rPr>
        <w:t>To identify, assess and communicate risks associated 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0CF3673C" w14:textId="3AE949FC" w:rsidR="009422B6" w:rsidRPr="00F745DE" w:rsidRDefault="00362C9A" w:rsidP="00496BA5">
      <w:pPr>
        <w:spacing w:before="120" w:after="60"/>
        <w:rPr>
          <w:rFonts w:cs="Arial"/>
          <w:b/>
          <w:i/>
          <w:lang w:val="en-GB"/>
        </w:rPr>
      </w:pPr>
      <w:r w:rsidRPr="00F745DE">
        <w:rPr>
          <w:rFonts w:cs="Arial"/>
          <w:b/>
          <w:i/>
          <w:lang w:val="en-GB"/>
        </w:rPr>
        <w:t xml:space="preserve">Health and Care Public Health </w:t>
      </w:r>
    </w:p>
    <w:p w14:paraId="2A6B7E5C" w14:textId="77777777" w:rsidR="005931B7" w:rsidRPr="00F745DE" w:rsidRDefault="005931B7" w:rsidP="00496BA5">
      <w:pPr>
        <w:autoSpaceDE w:val="0"/>
        <w:autoSpaceDN w:val="0"/>
        <w:adjustRightInd w:val="0"/>
        <w:spacing w:after="120"/>
        <w:rPr>
          <w:rFonts w:cs="Arial"/>
          <w:bCs/>
          <w:iCs/>
          <w:lang w:val="en-GB" w:eastAsia="en-GB"/>
        </w:rPr>
      </w:pPr>
      <w:r w:rsidRPr="00F745DE">
        <w:rPr>
          <w:rFonts w:cs="Arial"/>
          <w:bCs/>
          <w:iCs/>
          <w:lang w:val="en-GB" w:eastAsia="en-GB"/>
        </w:rPr>
        <w:t>To be able to improve the efficiency, effectiveness, safety, reliability, responsiveness, sustainability and equity of health and care services through applying insights from multiple sources including formal research, health surveillance, needs analysis, service monitoring and evaluation.</w:t>
      </w:r>
    </w:p>
    <w:p w14:paraId="4BFEC1BD" w14:textId="0DA1740F" w:rsidR="001953E6" w:rsidRPr="00F745DE" w:rsidRDefault="00362C9A" w:rsidP="00496BA5">
      <w:pPr>
        <w:spacing w:before="120" w:after="60"/>
        <w:rPr>
          <w:rFonts w:cs="Arial"/>
          <w:b/>
          <w:i/>
          <w:lang w:val="en-GB"/>
        </w:rPr>
      </w:pPr>
      <w:r w:rsidRPr="00F745DE">
        <w:rPr>
          <w:rFonts w:cs="Arial"/>
          <w:b/>
          <w:i/>
          <w:lang w:val="en-GB"/>
        </w:rPr>
        <w:t>Academic p</w:t>
      </w:r>
      <w:r w:rsidR="001953E6" w:rsidRPr="00F745DE">
        <w:rPr>
          <w:rFonts w:cs="Arial"/>
          <w:b/>
          <w:i/>
          <w:lang w:val="en-GB"/>
        </w:rPr>
        <w:t xml:space="preserve">ublic </w:t>
      </w:r>
      <w:r w:rsidRPr="00F745DE">
        <w:rPr>
          <w:rFonts w:cs="Arial"/>
          <w:b/>
          <w:i/>
          <w:lang w:val="en-GB"/>
        </w:rPr>
        <w:t>h</w:t>
      </w:r>
      <w:r w:rsidR="001953E6" w:rsidRPr="00F745DE">
        <w:rPr>
          <w:rFonts w:cs="Arial"/>
          <w:b/>
          <w:i/>
          <w:lang w:val="en-GB"/>
        </w:rPr>
        <w:t>ealth</w:t>
      </w:r>
      <w:r w:rsidR="004D204E" w:rsidRPr="00F745DE">
        <w:rPr>
          <w:rFonts w:cs="Arial"/>
          <w:b/>
          <w:i/>
          <w:lang w:val="en-GB"/>
        </w:rPr>
        <w:t xml:space="preserve"> </w:t>
      </w:r>
    </w:p>
    <w:p w14:paraId="075B4F6C" w14:textId="6E209BF8" w:rsidR="00A944FE" w:rsidRPr="00F745DE" w:rsidRDefault="00A944FE" w:rsidP="0052242F">
      <w:pPr>
        <w:autoSpaceDE w:val="0"/>
        <w:autoSpaceDN w:val="0"/>
        <w:adjustRightInd w:val="0"/>
        <w:spacing w:after="120"/>
        <w:rPr>
          <w:rFonts w:cs="Arial"/>
          <w:bCs/>
          <w:iCs/>
          <w:lang w:val="en-GB" w:eastAsia="en-GB"/>
        </w:rPr>
      </w:pPr>
      <w:r w:rsidRPr="00F745DE">
        <w:rPr>
          <w:rFonts w:cs="Arial"/>
          <w:bCs/>
          <w:iCs/>
          <w:lang w:val="en-GB" w:eastAsia="en-GB"/>
        </w:rPr>
        <w:t>To add an academic perspective to all public health work undertaken. Specifically</w:t>
      </w:r>
      <w:r w:rsidR="00127916" w:rsidRPr="00F745DE">
        <w:rPr>
          <w:rFonts w:cs="Arial"/>
          <w:bCs/>
          <w:iCs/>
          <w:lang w:val="en-GB" w:eastAsia="en-GB"/>
        </w:rPr>
        <w:t>,</w:t>
      </w:r>
      <w:r w:rsidRPr="00F745DE">
        <w:rPr>
          <w:rFonts w:cs="Arial"/>
          <w:bCs/>
          <w:iCs/>
          <w:lang w:val="en-GB" w:eastAsia="en-GB"/>
        </w:rPr>
        <w:t xml:space="preserve">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w:t>
      </w:r>
    </w:p>
    <w:p w14:paraId="5FFF6FBC" w14:textId="77777777" w:rsidR="001953E6" w:rsidRPr="00F745DE" w:rsidRDefault="00362C9A" w:rsidP="00496BA5">
      <w:pPr>
        <w:spacing w:before="120" w:after="60"/>
        <w:rPr>
          <w:rFonts w:cs="Arial"/>
          <w:b/>
          <w:i/>
          <w:lang w:val="en-GB"/>
        </w:rPr>
      </w:pPr>
      <w:r w:rsidRPr="00F745DE">
        <w:rPr>
          <w:rFonts w:cs="Arial"/>
          <w:b/>
          <w:i/>
          <w:lang w:val="en-GB"/>
        </w:rPr>
        <w:t>Professional, personal and ethical development</w:t>
      </w:r>
    </w:p>
    <w:p w14:paraId="656E6B1E" w14:textId="77777777" w:rsidR="00A944FE" w:rsidRPr="00F745DE" w:rsidRDefault="003E43A6" w:rsidP="0052242F">
      <w:pPr>
        <w:autoSpaceDE w:val="0"/>
        <w:autoSpaceDN w:val="0"/>
        <w:adjustRightInd w:val="0"/>
        <w:spacing w:after="120"/>
        <w:rPr>
          <w:rFonts w:cs="Arial"/>
          <w:bCs/>
          <w:iCs/>
          <w:lang w:val="en-GB" w:eastAsia="en-GB"/>
        </w:rPr>
      </w:pPr>
      <w:r w:rsidRPr="00F745DE">
        <w:rPr>
          <w:rFonts w:cs="Arial"/>
          <w:bCs/>
          <w:iCs/>
          <w:lang w:val="en-GB" w:eastAsia="en-GB"/>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0367A61E" w14:textId="77777777" w:rsidR="00362C9A" w:rsidRPr="00F745DE" w:rsidRDefault="00362C9A" w:rsidP="00496BA5">
      <w:pPr>
        <w:spacing w:before="120" w:after="60"/>
        <w:rPr>
          <w:rFonts w:cs="Arial"/>
          <w:b/>
          <w:i/>
          <w:lang w:val="en-GB"/>
        </w:rPr>
      </w:pPr>
      <w:r w:rsidRPr="00F745DE">
        <w:rPr>
          <w:rFonts w:cs="Arial"/>
          <w:b/>
          <w:i/>
          <w:lang w:val="en-GB"/>
        </w:rPr>
        <w:t>Integration and application of competencies for consultant practice</w:t>
      </w:r>
    </w:p>
    <w:p w14:paraId="05BAD5D5" w14:textId="7CDE43EC" w:rsidR="00127916" w:rsidRPr="00F745DE" w:rsidRDefault="003E43A6" w:rsidP="0052242F">
      <w:pPr>
        <w:autoSpaceDE w:val="0"/>
        <w:autoSpaceDN w:val="0"/>
        <w:adjustRightInd w:val="0"/>
        <w:spacing w:after="120"/>
        <w:rPr>
          <w:rFonts w:cs="Arial"/>
          <w:bCs/>
          <w:iCs/>
          <w:lang w:val="en-GB" w:eastAsia="en-GB"/>
        </w:rPr>
      </w:pPr>
      <w:r w:rsidRPr="00F745DE">
        <w:rPr>
          <w:rFonts w:cs="Arial"/>
          <w:bCs/>
          <w:iCs/>
          <w:lang w:val="en-GB" w:eastAsia="en-GB"/>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r w:rsidR="00127916" w:rsidRPr="00F745DE">
        <w:rPr>
          <w:rFonts w:cs="Arial"/>
          <w:bCs/>
          <w:iCs/>
          <w:lang w:val="en-GB" w:eastAsia="en-GB"/>
        </w:rPr>
        <w:br w:type="page"/>
      </w:r>
    </w:p>
    <w:p w14:paraId="26A2E7F4" w14:textId="1B7F826A" w:rsidR="00C578A8" w:rsidRPr="00F745DE" w:rsidRDefault="001953E6" w:rsidP="00C578A8">
      <w:pPr>
        <w:widowControl w:val="0"/>
        <w:rPr>
          <w:rFonts w:cs="Arial"/>
          <w:b/>
          <w:lang w:val="en-GB"/>
        </w:rPr>
      </w:pPr>
      <w:r w:rsidRPr="00F745DE">
        <w:rPr>
          <w:rFonts w:cs="Arial"/>
          <w:b/>
          <w:lang w:val="en-GB"/>
        </w:rPr>
        <w:lastRenderedPageBreak/>
        <w:t>PERSON SPECIFICATION</w:t>
      </w:r>
      <w:r w:rsidR="00127916" w:rsidRPr="00F745DE">
        <w:rPr>
          <w:rFonts w:cs="Arial"/>
          <w:b/>
          <w:lang w:val="en-GB"/>
        </w:rPr>
        <w:t xml:space="preserve"> (ame</w:t>
      </w:r>
      <w:r w:rsidR="00C578A8" w:rsidRPr="00F745DE">
        <w:rPr>
          <w:rFonts w:cs="Arial"/>
          <w:b/>
          <w:lang w:val="en-GB"/>
        </w:rPr>
        <w:t>nd as appropriate</w:t>
      </w:r>
      <w:r w:rsidR="00127916" w:rsidRPr="00F745DE">
        <w:rPr>
          <w:rFonts w:cs="Arial"/>
          <w:b/>
          <w:lang w:val="en-GB"/>
        </w:rPr>
        <w:t>)</w:t>
      </w:r>
    </w:p>
    <w:p w14:paraId="52A951BB" w14:textId="5A33BC34" w:rsidR="001953E6" w:rsidRPr="00F745DE" w:rsidRDefault="008B12C3" w:rsidP="00127916">
      <w:pPr>
        <w:spacing w:before="120" w:after="120"/>
        <w:rPr>
          <w:rFonts w:cs="Arial"/>
          <w:b/>
          <w:lang w:val="en-GB"/>
        </w:rPr>
      </w:pPr>
      <w:r w:rsidRPr="00F745DE">
        <w:rPr>
          <w:rFonts w:cs="Arial"/>
          <w:b/>
          <w:lang w:val="en-GB"/>
        </w:rPr>
        <w:t xml:space="preserve">LECTURER / </w:t>
      </w:r>
      <w:r w:rsidR="008E706F" w:rsidRPr="00F745DE">
        <w:rPr>
          <w:rFonts w:cs="Arial"/>
          <w:b/>
          <w:lang w:val="en-GB"/>
        </w:rPr>
        <w:t xml:space="preserve">SENIOR LECTURER / </w:t>
      </w:r>
      <w:r w:rsidR="0038678F" w:rsidRPr="00F745DE">
        <w:rPr>
          <w:rFonts w:cs="Arial"/>
          <w:b/>
          <w:lang w:val="en-GB"/>
        </w:rPr>
        <w:t>READER</w:t>
      </w:r>
      <w:r w:rsidRPr="00F745DE">
        <w:rPr>
          <w:rFonts w:cs="Arial"/>
          <w:b/>
          <w:lang w:val="en-GB"/>
        </w:rPr>
        <w:t xml:space="preserve"> </w:t>
      </w:r>
      <w:r w:rsidR="0038678F" w:rsidRPr="00F745DE">
        <w:rPr>
          <w:rFonts w:cs="Arial"/>
          <w:b/>
          <w:lang w:val="en-GB"/>
        </w:rPr>
        <w:t xml:space="preserve">/ </w:t>
      </w:r>
      <w:r w:rsidR="008E706F" w:rsidRPr="00F745DE">
        <w:rPr>
          <w:rFonts w:cs="Arial"/>
          <w:b/>
          <w:lang w:val="en-GB"/>
        </w:rPr>
        <w:t xml:space="preserve">PROFESSOR </w:t>
      </w:r>
      <w:r w:rsidR="001953E6" w:rsidRPr="00F745DE">
        <w:rPr>
          <w:rFonts w:cs="Arial"/>
          <w:b/>
          <w:lang w:val="en-GB"/>
        </w:rPr>
        <w:t>IN PUBLIC HEALTH</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7491"/>
        <w:gridCol w:w="1060"/>
        <w:gridCol w:w="1060"/>
        <w:gridCol w:w="28"/>
      </w:tblGrid>
      <w:tr w:rsidR="000060D1" w:rsidRPr="00F745DE" w14:paraId="51BD54DD" w14:textId="77777777" w:rsidTr="00E5576F">
        <w:tc>
          <w:tcPr>
            <w:tcW w:w="9639" w:type="dxa"/>
            <w:gridSpan w:val="4"/>
            <w:tcBorders>
              <w:top w:val="single" w:sz="6" w:space="0" w:color="auto"/>
              <w:left w:val="single" w:sz="6" w:space="0" w:color="auto"/>
              <w:bottom w:val="single" w:sz="6" w:space="0" w:color="auto"/>
              <w:right w:val="single" w:sz="6" w:space="0" w:color="auto"/>
            </w:tcBorders>
          </w:tcPr>
          <w:p w14:paraId="64E8CAEA" w14:textId="4E8A771B" w:rsidR="000060D1" w:rsidRPr="00F745DE" w:rsidRDefault="000060D1" w:rsidP="000060D1">
            <w:pPr>
              <w:rPr>
                <w:rFonts w:cs="Arial"/>
                <w:b/>
                <w:i/>
                <w:sz w:val="18"/>
                <w:lang w:val="en-GB"/>
              </w:rPr>
            </w:pPr>
            <w:r w:rsidRPr="00F745DE">
              <w:rPr>
                <w:rFonts w:cs="Arial"/>
                <w:b/>
                <w:sz w:val="18"/>
                <w:lang w:val="en-GB"/>
              </w:rPr>
              <w:t>MPORTANT:</w:t>
            </w:r>
            <w:r w:rsidR="002A379D" w:rsidRPr="00F745DE">
              <w:rPr>
                <w:rFonts w:cs="Arial"/>
                <w:b/>
                <w:sz w:val="18"/>
                <w:lang w:val="en-GB"/>
              </w:rPr>
              <w:t xml:space="preserve"> </w:t>
            </w:r>
            <w:r w:rsidRPr="00F745DE">
              <w:rPr>
                <w:rFonts w:cs="Arial"/>
                <w:b/>
                <w:sz w:val="18"/>
                <w:lang w:val="en-GB"/>
              </w:rPr>
              <w:t>This person specification contains changes introduced in amendments made to the NHS (Appointment of Consultants) Regulations for England, Scotland, Northern Ireland and Wales which came into force during 2005</w:t>
            </w:r>
            <w:r w:rsidR="00E5576F" w:rsidRPr="00F745DE">
              <w:rPr>
                <w:rFonts w:cs="Arial"/>
                <w:b/>
                <w:sz w:val="18"/>
                <w:lang w:val="en-GB"/>
              </w:rPr>
              <w:t>, f</w:t>
            </w:r>
            <w:r w:rsidRPr="00F745DE">
              <w:rPr>
                <w:rFonts w:cs="Arial"/>
                <w:b/>
                <w:sz w:val="18"/>
                <w:lang w:val="en-GB"/>
              </w:rPr>
              <w:t>urther amended in June 2015, and September 2018</w:t>
            </w:r>
          </w:p>
        </w:tc>
      </w:tr>
      <w:tr w:rsidR="005B0822" w:rsidRPr="00F745DE" w14:paraId="2AA55F6B" w14:textId="77777777" w:rsidTr="00E5576F">
        <w:tc>
          <w:tcPr>
            <w:tcW w:w="75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6D84AA" w14:textId="77777777" w:rsidR="005B0822" w:rsidRPr="00F745DE" w:rsidRDefault="005B0822" w:rsidP="00C578A8">
            <w:pPr>
              <w:spacing w:before="60" w:after="60"/>
              <w:rPr>
                <w:rFonts w:cs="Arial"/>
                <w:b/>
                <w:sz w:val="18"/>
                <w:lang w:val="en-GB"/>
              </w:rPr>
            </w:pPr>
            <w:r w:rsidRPr="00F745DE">
              <w:rPr>
                <w:rFonts w:cs="Arial"/>
                <w:b/>
                <w:sz w:val="18"/>
                <w:lang w:val="en-GB"/>
              </w:rPr>
              <w:t>Education/Qualifications</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875A8D" w14:textId="77777777" w:rsidR="005B0822" w:rsidRPr="00F745DE" w:rsidRDefault="005B0822" w:rsidP="00C578A8">
            <w:pPr>
              <w:spacing w:before="60" w:after="60"/>
              <w:jc w:val="center"/>
              <w:rPr>
                <w:rFonts w:cs="Arial"/>
                <w:b/>
                <w:sz w:val="18"/>
                <w:lang w:val="en-GB"/>
              </w:rPr>
            </w:pPr>
            <w:r w:rsidRPr="00F745DE">
              <w:rPr>
                <w:rFonts w:cs="Arial"/>
                <w:b/>
                <w:sz w:val="18"/>
                <w:lang w:val="en-GB"/>
              </w:rPr>
              <w:t>Essential</w:t>
            </w:r>
          </w:p>
        </w:tc>
        <w:tc>
          <w:tcPr>
            <w:tcW w:w="106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A9C989" w14:textId="77777777" w:rsidR="005B0822" w:rsidRPr="00F745DE" w:rsidRDefault="005B0822" w:rsidP="00C578A8">
            <w:pPr>
              <w:spacing w:before="60" w:after="60"/>
              <w:jc w:val="center"/>
              <w:rPr>
                <w:rFonts w:cs="Arial"/>
                <w:b/>
                <w:sz w:val="18"/>
                <w:lang w:val="en-GB"/>
              </w:rPr>
            </w:pPr>
            <w:r w:rsidRPr="00F745DE">
              <w:rPr>
                <w:rFonts w:cs="Arial"/>
                <w:b/>
                <w:sz w:val="18"/>
                <w:lang w:val="en-GB"/>
              </w:rPr>
              <w:t>Desirable</w:t>
            </w:r>
          </w:p>
        </w:tc>
      </w:tr>
      <w:tr w:rsidR="005B0822" w:rsidRPr="00F745DE" w14:paraId="42D514A2"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254A4CC3" w14:textId="05C31E25" w:rsidR="005B0822" w:rsidRPr="00F745DE" w:rsidRDefault="00E5576F" w:rsidP="00E5576F">
            <w:pPr>
              <w:rPr>
                <w:rFonts w:cs="Arial"/>
                <w:sz w:val="18"/>
                <w:szCs w:val="18"/>
                <w:lang w:val="en-GB"/>
              </w:rPr>
            </w:pPr>
            <w:r w:rsidRPr="00F745DE">
              <w:rPr>
                <w:rFonts w:cs="Arial"/>
                <w:sz w:val="18"/>
                <w:szCs w:val="18"/>
              </w:rPr>
              <w:t xml:space="preserve">In line with current </w:t>
            </w:r>
            <w:hyperlink r:id="rId8" w:history="1">
              <w:r w:rsidRPr="00F745DE">
                <w:rPr>
                  <w:rStyle w:val="Hyperlink"/>
                  <w:rFonts w:cs="Arial"/>
                  <w:sz w:val="18"/>
                  <w:szCs w:val="18"/>
                </w:rPr>
                <w:t>legislation</w:t>
              </w:r>
            </w:hyperlink>
            <w:r w:rsidR="00222F6E" w:rsidRPr="00F745DE">
              <w:rPr>
                <w:rFonts w:cs="Arial"/>
                <w:sz w:val="18"/>
                <w:szCs w:val="18"/>
                <w:lang w:val="en-GB"/>
              </w:rPr>
              <w:t>, i</w:t>
            </w:r>
            <w:r w:rsidR="005B0822" w:rsidRPr="00F745DE">
              <w:rPr>
                <w:rFonts w:cs="Arial"/>
                <w:sz w:val="18"/>
                <w:szCs w:val="18"/>
                <w:lang w:val="en-GB"/>
              </w:rPr>
              <w:t>nclusion in the GMC Full and Specialist Register with a license to practice/GDC Specialist List or</w:t>
            </w:r>
            <w:r w:rsidR="002A379D" w:rsidRPr="00F745DE">
              <w:rPr>
                <w:rFonts w:cs="Arial"/>
                <w:sz w:val="18"/>
                <w:szCs w:val="18"/>
                <w:lang w:val="en-GB"/>
              </w:rPr>
              <w:t xml:space="preserve"> </w:t>
            </w:r>
            <w:r w:rsidR="005B0822" w:rsidRPr="00F745DE">
              <w:rPr>
                <w:rFonts w:cs="Arial"/>
                <w:sz w:val="18"/>
                <w:szCs w:val="18"/>
                <w:lang w:val="en-GB"/>
              </w:rPr>
              <w:t>Inclusion in the UK Public Health</w:t>
            </w:r>
            <w:r w:rsidR="002A379D" w:rsidRPr="00F745DE">
              <w:rPr>
                <w:rFonts w:cs="Arial"/>
                <w:sz w:val="18"/>
                <w:szCs w:val="18"/>
                <w:lang w:val="en-GB"/>
              </w:rPr>
              <w:t xml:space="preserve"> </w:t>
            </w:r>
            <w:r w:rsidR="005B0822" w:rsidRPr="00F745DE">
              <w:rPr>
                <w:rFonts w:cs="Arial"/>
                <w:sz w:val="18"/>
                <w:szCs w:val="18"/>
                <w:lang w:val="en-GB"/>
              </w:rPr>
              <w:t xml:space="preserve">Register (UKPHR) for Public Health Specialists </w:t>
            </w:r>
            <w:r w:rsidR="00420A9E" w:rsidRPr="00F745DE">
              <w:rPr>
                <w:rFonts w:cs="Arial"/>
                <w:b/>
                <w:bCs/>
                <w:sz w:val="18"/>
                <w:szCs w:val="18"/>
                <w:lang w:val="en-GB"/>
              </w:rPr>
              <w:t>at the point of application</w:t>
            </w:r>
            <w:r w:rsidR="002A379D" w:rsidRPr="00F745DE">
              <w:rPr>
                <w:rFonts w:cs="Arial"/>
                <w:sz w:val="18"/>
                <w:szCs w:val="18"/>
                <w:lang w:val="en-GB"/>
              </w:rPr>
              <w:t xml:space="preserve"> </w:t>
            </w:r>
          </w:p>
        </w:tc>
        <w:tc>
          <w:tcPr>
            <w:tcW w:w="1063" w:type="dxa"/>
            <w:tcBorders>
              <w:top w:val="single" w:sz="6" w:space="0" w:color="auto"/>
              <w:left w:val="single" w:sz="6" w:space="0" w:color="auto"/>
              <w:bottom w:val="single" w:sz="6" w:space="0" w:color="auto"/>
              <w:right w:val="single" w:sz="6" w:space="0" w:color="auto"/>
            </w:tcBorders>
            <w:vAlign w:val="center"/>
          </w:tcPr>
          <w:p w14:paraId="2E6F93DB" w14:textId="77777777" w:rsidR="005B0822" w:rsidRPr="00F745DE" w:rsidRDefault="005B0822" w:rsidP="00C578A8">
            <w:pPr>
              <w:jc w:val="center"/>
              <w:rPr>
                <w:rFonts w:cs="Arial"/>
                <w:sz w:val="18"/>
                <w:szCs w:val="18"/>
                <w:lang w:val="en-GB"/>
              </w:rPr>
            </w:pPr>
            <w:r w:rsidRPr="00F745DE">
              <w:rPr>
                <w:rFonts w:cs="Arial"/>
                <w:sz w:val="18"/>
                <w:szCs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0988092F" w14:textId="77777777" w:rsidR="005B0822" w:rsidRPr="00F745DE" w:rsidRDefault="005B0822" w:rsidP="00C578A8">
            <w:pPr>
              <w:jc w:val="center"/>
              <w:rPr>
                <w:rFonts w:cs="Arial"/>
                <w:sz w:val="18"/>
                <w:szCs w:val="18"/>
                <w:lang w:val="en-GB"/>
              </w:rPr>
            </w:pPr>
          </w:p>
        </w:tc>
      </w:tr>
      <w:tr w:rsidR="005B0822" w:rsidRPr="00F745DE" w14:paraId="3C09BFF1"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03856C6A" w14:textId="77777777" w:rsidR="005B0822" w:rsidRPr="00F745DE" w:rsidRDefault="005B0822" w:rsidP="00E5576F">
            <w:pPr>
              <w:rPr>
                <w:rFonts w:cs="Arial"/>
                <w:iCs/>
                <w:spacing w:val="-2"/>
                <w:sz w:val="18"/>
                <w:lang w:val="en-GB"/>
              </w:rPr>
            </w:pPr>
            <w:r w:rsidRPr="00F745DE">
              <w:rPr>
                <w:rFonts w:cs="Arial"/>
                <w:iCs/>
                <w:sz w:val="18"/>
                <w:lang w:val="en-GB"/>
              </w:rPr>
              <w:t>If included in the GMC Specialist Register/GDC Specialist List in a specialty other than public health medicine/dental public health, candidates must have equivalent training and/or appropriate experience of public health practice</w:t>
            </w:r>
          </w:p>
        </w:tc>
        <w:tc>
          <w:tcPr>
            <w:tcW w:w="1063" w:type="dxa"/>
            <w:tcBorders>
              <w:top w:val="single" w:sz="6" w:space="0" w:color="auto"/>
              <w:left w:val="single" w:sz="6" w:space="0" w:color="auto"/>
              <w:bottom w:val="single" w:sz="6" w:space="0" w:color="auto"/>
              <w:right w:val="single" w:sz="6" w:space="0" w:color="auto"/>
            </w:tcBorders>
            <w:vAlign w:val="center"/>
          </w:tcPr>
          <w:p w14:paraId="309CBEA7" w14:textId="77777777" w:rsidR="005B0822" w:rsidRPr="00F745DE" w:rsidRDefault="005B0822" w:rsidP="00C578A8">
            <w:pPr>
              <w:jc w:val="center"/>
              <w:rPr>
                <w:rFonts w:cs="Arial"/>
                <w:iCs/>
                <w:spacing w:val="-2"/>
                <w:sz w:val="18"/>
                <w:lang w:val="en-GB"/>
              </w:rPr>
            </w:pPr>
            <w:r w:rsidRPr="00F745DE">
              <w:rPr>
                <w:rFonts w:cs="Arial"/>
                <w:iCs/>
                <w:spacing w:val="-2"/>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084AE397" w14:textId="77777777" w:rsidR="005B0822" w:rsidRPr="00F745DE" w:rsidRDefault="005B0822" w:rsidP="00C578A8">
            <w:pPr>
              <w:jc w:val="center"/>
              <w:rPr>
                <w:rFonts w:cs="Arial"/>
                <w:iCs/>
                <w:spacing w:val="-2"/>
                <w:sz w:val="18"/>
                <w:lang w:val="en-GB"/>
              </w:rPr>
            </w:pPr>
          </w:p>
        </w:tc>
      </w:tr>
      <w:tr w:rsidR="005B0822" w:rsidRPr="00F745DE" w14:paraId="32C2A202"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5D156135" w14:textId="31083182" w:rsidR="00D402A1" w:rsidRPr="00F745DE" w:rsidRDefault="0040088C" w:rsidP="00E5576F">
            <w:pPr>
              <w:rPr>
                <w:rFonts w:cs="Arial"/>
                <w:spacing w:val="-2"/>
                <w:sz w:val="18"/>
                <w:szCs w:val="18"/>
                <w:lang w:val="en-GB"/>
              </w:rPr>
            </w:pPr>
            <w:bookmarkStart w:id="1" w:name="_Hlk82532611"/>
            <w:r w:rsidRPr="00F745DE">
              <w:rPr>
                <w:rFonts w:cs="Arial"/>
                <w:bCs/>
                <w:sz w:val="18"/>
                <w:szCs w:val="18"/>
              </w:rPr>
              <w:t xml:space="preserve">Any public health </w:t>
            </w:r>
            <w:r w:rsidRPr="00F745DE">
              <w:rPr>
                <w:rFonts w:cs="Arial"/>
                <w:b/>
                <w:sz w:val="18"/>
                <w:szCs w:val="18"/>
              </w:rPr>
              <w:t>specialty registrar applicants</w:t>
            </w:r>
            <w:r w:rsidRPr="00F745DE">
              <w:rPr>
                <w:rFonts w:cs="Arial"/>
                <w:bCs/>
                <w:sz w:val="18"/>
                <w:szCs w:val="18"/>
              </w:rPr>
              <w:t xml:space="preserve"> who are currently on the UK public health training programme and not yet on either the GMC, GDC or UKPHR specialist register </w:t>
            </w:r>
            <w:r w:rsidRPr="00F745DE">
              <w:rPr>
                <w:rFonts w:cs="Arial"/>
                <w:b/>
                <w:sz w:val="18"/>
                <w:szCs w:val="18"/>
                <w:u w:val="single"/>
              </w:rPr>
              <w:t>must</w:t>
            </w:r>
            <w:r w:rsidRPr="00F745DE">
              <w:rPr>
                <w:rFonts w:cs="Arial"/>
                <w:bCs/>
                <w:sz w:val="18"/>
                <w:szCs w:val="18"/>
              </w:rPr>
              <w:t xml:space="preserve"> provide verifiable signed documentary evidence that they are within 6 months of gaining entry to a register at the date of interview</w:t>
            </w:r>
            <w:r w:rsidR="00E5576F" w:rsidRPr="00F745DE">
              <w:rPr>
                <w:rFonts w:cs="Arial"/>
                <w:bCs/>
                <w:sz w:val="18"/>
                <w:szCs w:val="18"/>
              </w:rPr>
              <w:t xml:space="preserve"> </w:t>
            </w:r>
            <w:r w:rsidRPr="00F745DE">
              <w:rPr>
                <w:rFonts w:cs="Arial"/>
                <w:bCs/>
                <w:sz w:val="18"/>
                <w:szCs w:val="18"/>
              </w:rPr>
              <w:t>*</w:t>
            </w:r>
          </w:p>
        </w:tc>
        <w:tc>
          <w:tcPr>
            <w:tcW w:w="1063" w:type="dxa"/>
            <w:tcBorders>
              <w:top w:val="single" w:sz="6" w:space="0" w:color="auto"/>
              <w:left w:val="single" w:sz="6" w:space="0" w:color="auto"/>
              <w:bottom w:val="single" w:sz="6" w:space="0" w:color="auto"/>
              <w:right w:val="single" w:sz="6" w:space="0" w:color="auto"/>
            </w:tcBorders>
            <w:vAlign w:val="center"/>
          </w:tcPr>
          <w:p w14:paraId="183F143C" w14:textId="77777777" w:rsidR="005B0822" w:rsidRPr="00F745DE" w:rsidRDefault="005B0822" w:rsidP="00C578A8">
            <w:pPr>
              <w:jc w:val="center"/>
              <w:rPr>
                <w:rFonts w:cs="Arial"/>
                <w:spacing w:val="-2"/>
                <w:sz w:val="18"/>
                <w:szCs w:val="18"/>
                <w:lang w:val="en-GB"/>
              </w:rPr>
            </w:pPr>
            <w:r w:rsidRPr="00F745DE">
              <w:rPr>
                <w:rFonts w:cs="Arial"/>
                <w:spacing w:val="-2"/>
                <w:sz w:val="18"/>
                <w:szCs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46F7FD71" w14:textId="77777777" w:rsidR="005B0822" w:rsidRPr="00F745DE" w:rsidRDefault="005B0822" w:rsidP="00C578A8">
            <w:pPr>
              <w:jc w:val="center"/>
              <w:rPr>
                <w:rFonts w:cs="Arial"/>
                <w:sz w:val="18"/>
                <w:szCs w:val="18"/>
                <w:lang w:val="en-GB"/>
              </w:rPr>
            </w:pPr>
          </w:p>
        </w:tc>
      </w:tr>
      <w:bookmarkEnd w:id="1"/>
      <w:tr w:rsidR="005B0822" w:rsidRPr="00F745DE" w14:paraId="782ACB7B"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6FCDE4EA" w14:textId="52FB0BCD" w:rsidR="005B0822" w:rsidRPr="00F745DE" w:rsidRDefault="005B0822" w:rsidP="00E5576F">
            <w:pPr>
              <w:rPr>
                <w:rFonts w:cs="Arial"/>
                <w:spacing w:val="-2"/>
                <w:sz w:val="18"/>
                <w:szCs w:val="18"/>
                <w:lang w:val="en-GB"/>
              </w:rPr>
            </w:pPr>
            <w:r w:rsidRPr="00F745DE">
              <w:rPr>
                <w:rFonts w:cs="Arial"/>
                <w:bCs/>
                <w:sz w:val="18"/>
                <w:szCs w:val="18"/>
              </w:rPr>
              <w:t>If an applicant is UK trained in Public Health, they must ALSO be a holder of a Certificate of Completion of Training (CCT) or be within six months of award of CCT by date of interview</w:t>
            </w:r>
            <w:r w:rsidR="002A379D" w:rsidRPr="00F745DE">
              <w:rPr>
                <w:rFonts w:cs="Arial"/>
                <w:bCs/>
                <w:sz w:val="18"/>
                <w:szCs w:val="18"/>
              </w:rPr>
              <w:t xml:space="preserve">. </w:t>
            </w:r>
            <w:r w:rsidRPr="00F745DE">
              <w:rPr>
                <w:rFonts w:cs="Arial"/>
                <w:sz w:val="18"/>
                <w:szCs w:val="18"/>
              </w:rPr>
              <w:t xml:space="preserve">If an applicant is non-UK trained, they will be required to show evidence of equivalence to the UK CCT </w:t>
            </w:r>
            <w:r w:rsidRPr="00F745DE">
              <w:rPr>
                <w:rFonts w:cs="Arial"/>
                <w:i/>
                <w:spacing w:val="-2"/>
                <w:sz w:val="18"/>
                <w:szCs w:val="18"/>
                <w:lang w:val="en-GB"/>
              </w:rPr>
              <w:t>[see shortlisting notes below for additional guidance]</w:t>
            </w:r>
          </w:p>
        </w:tc>
        <w:tc>
          <w:tcPr>
            <w:tcW w:w="1063" w:type="dxa"/>
            <w:tcBorders>
              <w:top w:val="single" w:sz="6" w:space="0" w:color="auto"/>
              <w:left w:val="single" w:sz="6" w:space="0" w:color="auto"/>
              <w:bottom w:val="single" w:sz="6" w:space="0" w:color="auto"/>
              <w:right w:val="single" w:sz="6" w:space="0" w:color="auto"/>
            </w:tcBorders>
            <w:vAlign w:val="center"/>
          </w:tcPr>
          <w:p w14:paraId="48D3DC12" w14:textId="77777777" w:rsidR="005B0822" w:rsidRPr="00F745DE" w:rsidRDefault="005B0822" w:rsidP="00C578A8">
            <w:pPr>
              <w:jc w:val="center"/>
              <w:rPr>
                <w:rFonts w:cs="Arial"/>
                <w:spacing w:val="-2"/>
                <w:sz w:val="18"/>
                <w:szCs w:val="18"/>
                <w:lang w:val="en-GB"/>
              </w:rPr>
            </w:pPr>
            <w:r w:rsidRPr="00F745DE">
              <w:rPr>
                <w:rFonts w:cs="Arial"/>
                <w:spacing w:val="-2"/>
                <w:sz w:val="18"/>
                <w:szCs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02AE6A25" w14:textId="77777777" w:rsidR="005B0822" w:rsidRPr="00F745DE" w:rsidRDefault="005B0822" w:rsidP="00C578A8">
            <w:pPr>
              <w:jc w:val="center"/>
              <w:rPr>
                <w:rFonts w:cs="Arial"/>
                <w:sz w:val="18"/>
                <w:szCs w:val="18"/>
                <w:lang w:val="en-GB"/>
              </w:rPr>
            </w:pPr>
          </w:p>
        </w:tc>
      </w:tr>
      <w:tr w:rsidR="005B0822" w:rsidRPr="00F745DE" w14:paraId="6EC1F704"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1CCD16D0" w14:textId="55CF766E" w:rsidR="005B0822" w:rsidRPr="00F745DE" w:rsidRDefault="005B0822" w:rsidP="00E5576F">
            <w:pPr>
              <w:rPr>
                <w:rFonts w:cs="Arial"/>
                <w:spacing w:val="-2"/>
                <w:sz w:val="18"/>
                <w:lang w:val="en-GB"/>
              </w:rPr>
            </w:pPr>
            <w:r w:rsidRPr="00F745DE">
              <w:rPr>
                <w:rFonts w:cs="Arial"/>
                <w:spacing w:val="-2"/>
                <w:sz w:val="18"/>
                <w:lang w:val="en-GB"/>
              </w:rPr>
              <w:t>Applicants must meet minimum CPD requirements (i</w:t>
            </w:r>
            <w:r w:rsidR="00F25E7C" w:rsidRPr="00F745DE">
              <w:rPr>
                <w:rFonts w:cs="Arial"/>
                <w:spacing w:val="-2"/>
                <w:sz w:val="18"/>
                <w:lang w:val="en-GB"/>
              </w:rPr>
              <w:t>.</w:t>
            </w:r>
            <w:r w:rsidRPr="00F745DE">
              <w:rPr>
                <w:rFonts w:cs="Arial"/>
                <w:spacing w:val="-2"/>
                <w:sz w:val="18"/>
                <w:lang w:val="en-GB"/>
              </w:rPr>
              <w:t>e</w:t>
            </w:r>
            <w:r w:rsidR="00F25E7C" w:rsidRPr="00F745DE">
              <w:rPr>
                <w:rFonts w:cs="Arial"/>
                <w:spacing w:val="-2"/>
                <w:sz w:val="18"/>
                <w:lang w:val="en-GB"/>
              </w:rPr>
              <w:t xml:space="preserve">. </w:t>
            </w:r>
            <w:r w:rsidRPr="00F745DE">
              <w:rPr>
                <w:rFonts w:cs="Arial"/>
                <w:spacing w:val="-2"/>
                <w:sz w:val="18"/>
                <w:lang w:val="en-GB"/>
              </w:rPr>
              <w:t xml:space="preserve">be up to date) in accordance with Faculty of Public Health requirements or other recognised body </w:t>
            </w:r>
          </w:p>
        </w:tc>
        <w:tc>
          <w:tcPr>
            <w:tcW w:w="1063" w:type="dxa"/>
            <w:tcBorders>
              <w:top w:val="single" w:sz="6" w:space="0" w:color="auto"/>
              <w:left w:val="single" w:sz="6" w:space="0" w:color="auto"/>
              <w:bottom w:val="single" w:sz="6" w:space="0" w:color="auto"/>
              <w:right w:val="single" w:sz="6" w:space="0" w:color="auto"/>
            </w:tcBorders>
            <w:vAlign w:val="center"/>
          </w:tcPr>
          <w:p w14:paraId="02F0EDFA" w14:textId="77777777" w:rsidR="005B0822" w:rsidRPr="00F745DE" w:rsidRDefault="005B0822" w:rsidP="00C578A8">
            <w:pPr>
              <w:jc w:val="center"/>
              <w:rPr>
                <w:rFonts w:cs="Arial"/>
                <w:spacing w:val="-2"/>
                <w:sz w:val="18"/>
                <w:lang w:val="en-GB"/>
              </w:rPr>
            </w:pPr>
            <w:r w:rsidRPr="00F745DE">
              <w:rPr>
                <w:rFonts w:cs="Arial"/>
                <w:spacing w:val="-2"/>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6FE63D13" w14:textId="77777777" w:rsidR="005B0822" w:rsidRPr="00F745DE" w:rsidRDefault="005B0822" w:rsidP="00C578A8">
            <w:pPr>
              <w:jc w:val="center"/>
              <w:rPr>
                <w:rFonts w:cs="Arial"/>
                <w:spacing w:val="-2"/>
                <w:sz w:val="18"/>
                <w:lang w:val="en-GB"/>
              </w:rPr>
            </w:pPr>
          </w:p>
        </w:tc>
      </w:tr>
      <w:tr w:rsidR="005B0822" w:rsidRPr="00F745DE" w14:paraId="023EF946"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222E41A0" w14:textId="39239BCF" w:rsidR="005B0822" w:rsidRPr="00F745DE" w:rsidRDefault="005B0822" w:rsidP="00E5576F">
            <w:pPr>
              <w:rPr>
                <w:rFonts w:cs="Arial"/>
                <w:spacing w:val="-2"/>
                <w:sz w:val="18"/>
                <w:lang w:val="en-GB"/>
              </w:rPr>
            </w:pPr>
            <w:r w:rsidRPr="00F745DE">
              <w:rPr>
                <w:rFonts w:cs="Arial"/>
                <w:spacing w:val="-2"/>
                <w:sz w:val="18"/>
                <w:lang w:val="en-GB"/>
              </w:rPr>
              <w:t>MFPH by examination, by exemption or by assessment</w:t>
            </w:r>
            <w:r w:rsidR="00420A9E" w:rsidRPr="00F745DE">
              <w:rPr>
                <w:rFonts w:cs="Arial"/>
                <w:spacing w:val="-2"/>
                <w:sz w:val="18"/>
                <w:lang w:val="en-GB"/>
              </w:rPr>
              <w:t>, or equivalent</w:t>
            </w:r>
          </w:p>
        </w:tc>
        <w:tc>
          <w:tcPr>
            <w:tcW w:w="1063" w:type="dxa"/>
            <w:tcBorders>
              <w:top w:val="single" w:sz="6" w:space="0" w:color="auto"/>
              <w:left w:val="single" w:sz="6" w:space="0" w:color="auto"/>
              <w:bottom w:val="single" w:sz="6" w:space="0" w:color="auto"/>
              <w:right w:val="single" w:sz="6" w:space="0" w:color="auto"/>
            </w:tcBorders>
            <w:vAlign w:val="center"/>
          </w:tcPr>
          <w:p w14:paraId="639863A0" w14:textId="77777777" w:rsidR="005B0822" w:rsidRPr="00F745DE" w:rsidRDefault="005B0822" w:rsidP="00C578A8">
            <w:pPr>
              <w:jc w:val="center"/>
              <w:rPr>
                <w:rFonts w:cs="Arial"/>
                <w:spacing w:val="-2"/>
                <w:sz w:val="18"/>
                <w:lang w:val="en-GB"/>
              </w:rPr>
            </w:pPr>
            <w:r w:rsidRPr="00F745DE">
              <w:rPr>
                <w:rFonts w:cs="Arial"/>
                <w:spacing w:val="-2"/>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6832DC6C" w14:textId="77777777" w:rsidR="005B0822" w:rsidRPr="00F745DE" w:rsidRDefault="005B0822" w:rsidP="00C578A8">
            <w:pPr>
              <w:jc w:val="center"/>
              <w:rPr>
                <w:rFonts w:cs="Arial"/>
                <w:spacing w:val="-2"/>
                <w:sz w:val="18"/>
                <w:lang w:val="en-GB"/>
              </w:rPr>
            </w:pPr>
          </w:p>
        </w:tc>
      </w:tr>
      <w:tr w:rsidR="005B0822" w:rsidRPr="00F745DE" w14:paraId="34D69D3F"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44EDA455" w14:textId="77777777" w:rsidR="005B0822" w:rsidRPr="00F745DE" w:rsidRDefault="005B0822" w:rsidP="00E5576F">
            <w:pPr>
              <w:rPr>
                <w:rFonts w:cs="Arial"/>
                <w:spacing w:val="-2"/>
                <w:sz w:val="18"/>
                <w:lang w:val="en-GB"/>
              </w:rPr>
            </w:pPr>
            <w:proofErr w:type="spellStart"/>
            <w:proofErr w:type="gramStart"/>
            <w:r w:rsidRPr="00F745DE">
              <w:rPr>
                <w:rFonts w:cs="Arial"/>
                <w:spacing w:val="-2"/>
                <w:sz w:val="18"/>
                <w:lang w:val="en-GB"/>
              </w:rPr>
              <w:t>Masters</w:t>
            </w:r>
            <w:proofErr w:type="spellEnd"/>
            <w:r w:rsidRPr="00F745DE">
              <w:rPr>
                <w:rFonts w:cs="Arial"/>
                <w:spacing w:val="-2"/>
                <w:sz w:val="18"/>
                <w:lang w:val="en-GB"/>
              </w:rPr>
              <w:t xml:space="preserve"> in Public Health</w:t>
            </w:r>
            <w:proofErr w:type="gramEnd"/>
            <w:r w:rsidRPr="00F745DE">
              <w:rPr>
                <w:rFonts w:cs="Arial"/>
                <w:spacing w:val="-2"/>
                <w:sz w:val="18"/>
                <w:lang w:val="en-GB"/>
              </w:rPr>
              <w:t xml:space="preserve"> or equivalent</w:t>
            </w:r>
          </w:p>
        </w:tc>
        <w:tc>
          <w:tcPr>
            <w:tcW w:w="1063" w:type="dxa"/>
            <w:tcBorders>
              <w:top w:val="single" w:sz="6" w:space="0" w:color="auto"/>
              <w:left w:val="single" w:sz="6" w:space="0" w:color="auto"/>
              <w:bottom w:val="single" w:sz="6" w:space="0" w:color="auto"/>
              <w:right w:val="single" w:sz="6" w:space="0" w:color="auto"/>
            </w:tcBorders>
            <w:vAlign w:val="center"/>
          </w:tcPr>
          <w:p w14:paraId="6BC629AB" w14:textId="77777777" w:rsidR="005B0822" w:rsidRPr="00F745DE" w:rsidRDefault="005B0822" w:rsidP="00C578A8">
            <w:pPr>
              <w:jc w:val="center"/>
              <w:rPr>
                <w:rFonts w:cs="Arial"/>
                <w:spacing w:val="-2"/>
                <w:sz w:val="18"/>
                <w:lang w:val="en-GB"/>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2C397F55" w14:textId="77777777" w:rsidR="005B0822" w:rsidRPr="00F745DE" w:rsidRDefault="005B0822" w:rsidP="00C578A8">
            <w:pPr>
              <w:jc w:val="center"/>
              <w:rPr>
                <w:rFonts w:cs="Arial"/>
                <w:spacing w:val="-2"/>
                <w:sz w:val="18"/>
                <w:lang w:val="en-GB"/>
              </w:rPr>
            </w:pPr>
            <w:r w:rsidRPr="00F745DE">
              <w:rPr>
                <w:rFonts w:cs="Arial"/>
                <w:spacing w:val="-2"/>
                <w:sz w:val="18"/>
                <w:lang w:val="en-GB"/>
              </w:rPr>
              <w:t>X</w:t>
            </w:r>
          </w:p>
        </w:tc>
      </w:tr>
      <w:tr w:rsidR="005B0822" w:rsidRPr="00F745DE" w14:paraId="249B45B3" w14:textId="77777777" w:rsidTr="00E5576F">
        <w:trPr>
          <w:trHeight w:val="65"/>
        </w:trPr>
        <w:tc>
          <w:tcPr>
            <w:tcW w:w="75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5B4AA9" w14:textId="117B8AE2" w:rsidR="005B0822" w:rsidRPr="00F745DE" w:rsidRDefault="005B0822" w:rsidP="00E5576F">
            <w:pPr>
              <w:rPr>
                <w:rFonts w:cs="Arial"/>
                <w:b/>
                <w:sz w:val="18"/>
                <w:lang w:val="en-GB"/>
              </w:rPr>
            </w:pPr>
            <w:r w:rsidRPr="00F745DE">
              <w:rPr>
                <w:rFonts w:cs="Arial"/>
                <w:b/>
                <w:sz w:val="18"/>
                <w:lang w:val="en-GB"/>
              </w:rPr>
              <w:t xml:space="preserve">Personal qualities </w:t>
            </w:r>
            <w:r w:rsidR="00D402A1" w:rsidRPr="00F745DE">
              <w:rPr>
                <w:rFonts w:cs="Arial"/>
                <w:b/>
                <w:sz w:val="18"/>
                <w:lang w:val="en-GB"/>
              </w:rPr>
              <w:t>(employers may wish to add to or amend these requirement)</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4C07E4" w14:textId="77777777" w:rsidR="005B0822" w:rsidRPr="00F745DE" w:rsidRDefault="005B0822" w:rsidP="00C578A8">
            <w:pPr>
              <w:spacing w:before="60" w:after="60"/>
              <w:jc w:val="center"/>
              <w:rPr>
                <w:rFonts w:cs="Arial"/>
                <w:b/>
                <w:sz w:val="18"/>
                <w:lang w:val="en-GB"/>
              </w:rPr>
            </w:pPr>
          </w:p>
        </w:tc>
        <w:tc>
          <w:tcPr>
            <w:tcW w:w="106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78F24" w14:textId="77777777" w:rsidR="005B0822" w:rsidRPr="00F745DE" w:rsidRDefault="005B0822" w:rsidP="00C578A8">
            <w:pPr>
              <w:spacing w:before="60" w:after="60"/>
              <w:jc w:val="center"/>
              <w:rPr>
                <w:rFonts w:cs="Arial"/>
                <w:b/>
                <w:sz w:val="18"/>
                <w:lang w:val="en-GB"/>
              </w:rPr>
            </w:pPr>
          </w:p>
        </w:tc>
      </w:tr>
      <w:tr w:rsidR="005B0822" w:rsidRPr="00F745DE" w14:paraId="082DC5EA"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73CDB3F9" w14:textId="6CE688D5" w:rsidR="005B0822" w:rsidRPr="00F745DE" w:rsidRDefault="005A4A6E" w:rsidP="00E5576F">
            <w:pPr>
              <w:rPr>
                <w:rFonts w:cs="Arial"/>
                <w:sz w:val="18"/>
                <w:lang w:val="en-GB"/>
              </w:rPr>
            </w:pPr>
            <w:r w:rsidRPr="00F745DE">
              <w:rPr>
                <w:rFonts w:cs="Arial"/>
                <w:sz w:val="18"/>
                <w:lang w:val="en-GB"/>
              </w:rPr>
              <w:t>Strong commitment to public health principles</w:t>
            </w:r>
          </w:p>
        </w:tc>
        <w:tc>
          <w:tcPr>
            <w:tcW w:w="1063" w:type="dxa"/>
            <w:tcBorders>
              <w:top w:val="single" w:sz="6" w:space="0" w:color="auto"/>
              <w:left w:val="single" w:sz="6" w:space="0" w:color="auto"/>
              <w:bottom w:val="single" w:sz="6" w:space="0" w:color="auto"/>
              <w:right w:val="single" w:sz="6" w:space="0" w:color="auto"/>
            </w:tcBorders>
            <w:vAlign w:val="center"/>
          </w:tcPr>
          <w:p w14:paraId="357E5064" w14:textId="77777777" w:rsidR="005B0822" w:rsidRPr="00F745DE" w:rsidRDefault="005B0822" w:rsidP="00C578A8">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49DEECC3" w14:textId="77777777" w:rsidR="005B0822" w:rsidRPr="00F745DE" w:rsidRDefault="005B0822" w:rsidP="00C578A8">
            <w:pPr>
              <w:jc w:val="center"/>
              <w:rPr>
                <w:rFonts w:cs="Arial"/>
                <w:sz w:val="18"/>
                <w:lang w:val="en-GB"/>
              </w:rPr>
            </w:pPr>
          </w:p>
        </w:tc>
      </w:tr>
      <w:tr w:rsidR="005A4A6E" w:rsidRPr="00F745DE" w14:paraId="13D87055"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040CF219" w14:textId="4E760FB5" w:rsidR="005A4A6E" w:rsidRPr="00F745DE" w:rsidRDefault="005A4A6E" w:rsidP="00E5576F">
            <w:pPr>
              <w:rPr>
                <w:rFonts w:cs="Arial"/>
                <w:sz w:val="18"/>
                <w:lang w:val="en-GB"/>
              </w:rPr>
            </w:pPr>
            <w:r w:rsidRPr="00F745DE">
              <w:rPr>
                <w:rFonts w:cs="Arial"/>
                <w:sz w:val="18"/>
                <w:lang w:val="en-GB"/>
              </w:rPr>
              <w:t>Able to prioritise work</w:t>
            </w:r>
          </w:p>
        </w:tc>
        <w:tc>
          <w:tcPr>
            <w:tcW w:w="1063" w:type="dxa"/>
            <w:tcBorders>
              <w:top w:val="single" w:sz="6" w:space="0" w:color="auto"/>
              <w:left w:val="single" w:sz="6" w:space="0" w:color="auto"/>
              <w:bottom w:val="single" w:sz="6" w:space="0" w:color="auto"/>
              <w:right w:val="single" w:sz="6" w:space="0" w:color="auto"/>
            </w:tcBorders>
          </w:tcPr>
          <w:p w14:paraId="7FB052E3" w14:textId="02C8EC07" w:rsidR="005A4A6E" w:rsidRPr="00F745DE" w:rsidRDefault="005A4A6E" w:rsidP="005A4A6E">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2A68DC4E" w14:textId="77777777" w:rsidR="005A4A6E" w:rsidRPr="00F745DE" w:rsidRDefault="005A4A6E" w:rsidP="005A4A6E">
            <w:pPr>
              <w:jc w:val="center"/>
              <w:rPr>
                <w:rFonts w:cs="Arial"/>
                <w:sz w:val="18"/>
                <w:lang w:val="en-GB"/>
              </w:rPr>
            </w:pPr>
          </w:p>
        </w:tc>
      </w:tr>
      <w:tr w:rsidR="005A4A6E" w:rsidRPr="00F745DE" w14:paraId="0F677755"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7389AF3C" w14:textId="7BCE0941" w:rsidR="005A4A6E" w:rsidRPr="00F745DE" w:rsidRDefault="00D402A1" w:rsidP="00E5576F">
            <w:pPr>
              <w:rPr>
                <w:rFonts w:cs="Arial"/>
                <w:sz w:val="18"/>
                <w:lang w:val="en-GB"/>
              </w:rPr>
            </w:pPr>
            <w:r w:rsidRPr="00F745DE">
              <w:rPr>
                <w:rFonts w:cs="Arial"/>
                <w:sz w:val="18"/>
                <w:lang w:val="en-GB"/>
              </w:rPr>
              <w:t>Able to work in multidisciplinary teams with diverse groups of people</w:t>
            </w:r>
          </w:p>
        </w:tc>
        <w:tc>
          <w:tcPr>
            <w:tcW w:w="1063" w:type="dxa"/>
            <w:tcBorders>
              <w:top w:val="single" w:sz="6" w:space="0" w:color="auto"/>
              <w:left w:val="single" w:sz="6" w:space="0" w:color="auto"/>
              <w:bottom w:val="single" w:sz="6" w:space="0" w:color="auto"/>
              <w:right w:val="single" w:sz="6" w:space="0" w:color="auto"/>
            </w:tcBorders>
          </w:tcPr>
          <w:p w14:paraId="04149161" w14:textId="71138934" w:rsidR="005A4A6E" w:rsidRPr="00F745DE" w:rsidRDefault="005A4A6E" w:rsidP="005A4A6E">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2419DE07" w14:textId="77777777" w:rsidR="005A4A6E" w:rsidRPr="00F745DE" w:rsidRDefault="005A4A6E" w:rsidP="005A4A6E">
            <w:pPr>
              <w:jc w:val="center"/>
              <w:rPr>
                <w:rFonts w:cs="Arial"/>
                <w:sz w:val="18"/>
                <w:lang w:val="en-GB"/>
              </w:rPr>
            </w:pPr>
          </w:p>
        </w:tc>
      </w:tr>
      <w:tr w:rsidR="005A4A6E" w:rsidRPr="00F745DE" w14:paraId="03C15F8C"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414284FC" w14:textId="5B4CB664" w:rsidR="005A4A6E" w:rsidRPr="00F745DE" w:rsidRDefault="005A4A6E" w:rsidP="00E5576F">
            <w:pPr>
              <w:rPr>
                <w:rFonts w:cs="Arial"/>
                <w:sz w:val="18"/>
                <w:lang w:val="en-GB"/>
              </w:rPr>
            </w:pPr>
            <w:r w:rsidRPr="00F745DE">
              <w:rPr>
                <w:rFonts w:cs="Arial"/>
                <w:sz w:val="18"/>
                <w:lang w:val="en-GB"/>
              </w:rPr>
              <w:t>Self-motivated, pro-active, and innovative</w:t>
            </w:r>
          </w:p>
        </w:tc>
        <w:tc>
          <w:tcPr>
            <w:tcW w:w="1063" w:type="dxa"/>
            <w:tcBorders>
              <w:top w:val="single" w:sz="6" w:space="0" w:color="auto"/>
              <w:left w:val="single" w:sz="6" w:space="0" w:color="auto"/>
              <w:bottom w:val="single" w:sz="6" w:space="0" w:color="auto"/>
              <w:right w:val="single" w:sz="6" w:space="0" w:color="auto"/>
            </w:tcBorders>
          </w:tcPr>
          <w:p w14:paraId="2FF4937C" w14:textId="1583923B" w:rsidR="005A4A6E" w:rsidRPr="00F745DE" w:rsidRDefault="005A4A6E" w:rsidP="005A4A6E">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54CAD104" w14:textId="77777777" w:rsidR="005A4A6E" w:rsidRPr="00F745DE" w:rsidRDefault="005A4A6E" w:rsidP="005A4A6E">
            <w:pPr>
              <w:jc w:val="center"/>
              <w:rPr>
                <w:rFonts w:cs="Arial"/>
                <w:sz w:val="18"/>
                <w:lang w:val="en-GB"/>
              </w:rPr>
            </w:pPr>
          </w:p>
        </w:tc>
      </w:tr>
      <w:tr w:rsidR="005A4A6E" w:rsidRPr="00F745DE" w14:paraId="5F8C5E3F"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7F4C77AE" w14:textId="49B2BB65" w:rsidR="005A4A6E" w:rsidRPr="00F745DE" w:rsidRDefault="005A4A6E" w:rsidP="00E5576F">
            <w:pPr>
              <w:rPr>
                <w:rFonts w:cs="Arial"/>
                <w:sz w:val="18"/>
                <w:lang w:val="en-GB"/>
              </w:rPr>
            </w:pPr>
            <w:r w:rsidRPr="00F745DE">
              <w:rPr>
                <w:rFonts w:cs="Arial"/>
                <w:sz w:val="18"/>
                <w:lang w:val="en-GB"/>
              </w:rPr>
              <w:t>Excellent written and verbal communication and excellent presentation skills</w:t>
            </w:r>
          </w:p>
        </w:tc>
        <w:tc>
          <w:tcPr>
            <w:tcW w:w="1063" w:type="dxa"/>
            <w:tcBorders>
              <w:top w:val="single" w:sz="6" w:space="0" w:color="auto"/>
              <w:left w:val="single" w:sz="6" w:space="0" w:color="auto"/>
              <w:bottom w:val="single" w:sz="6" w:space="0" w:color="auto"/>
              <w:right w:val="single" w:sz="6" w:space="0" w:color="auto"/>
            </w:tcBorders>
          </w:tcPr>
          <w:p w14:paraId="3398475F" w14:textId="738D8FD0" w:rsidR="005A4A6E" w:rsidRPr="00F745DE" w:rsidRDefault="005A4A6E" w:rsidP="005A4A6E">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73F6D669" w14:textId="77777777" w:rsidR="005A4A6E" w:rsidRPr="00F745DE" w:rsidRDefault="005A4A6E" w:rsidP="005A4A6E">
            <w:pPr>
              <w:jc w:val="center"/>
              <w:rPr>
                <w:rFonts w:cs="Arial"/>
                <w:sz w:val="18"/>
                <w:lang w:val="en-GB"/>
              </w:rPr>
            </w:pPr>
          </w:p>
        </w:tc>
      </w:tr>
      <w:tr w:rsidR="005A4A6E" w:rsidRPr="00F745DE" w14:paraId="3B19AB2A"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69537ACE" w14:textId="69F7E654" w:rsidR="005A4A6E" w:rsidRPr="00F745DE" w:rsidRDefault="005A4A6E" w:rsidP="00E5576F">
            <w:pPr>
              <w:rPr>
                <w:rFonts w:cs="Arial"/>
                <w:sz w:val="18"/>
                <w:lang w:val="en-GB"/>
              </w:rPr>
            </w:pPr>
            <w:r w:rsidRPr="00F745DE">
              <w:rPr>
                <w:rFonts w:cs="Arial"/>
                <w:sz w:val="18"/>
                <w:lang w:val="en-GB"/>
              </w:rPr>
              <w:t>Ability to observe and define priorities and timetables in the achievement of strategic and operational objectives</w:t>
            </w:r>
          </w:p>
        </w:tc>
        <w:tc>
          <w:tcPr>
            <w:tcW w:w="1063" w:type="dxa"/>
            <w:tcBorders>
              <w:top w:val="single" w:sz="6" w:space="0" w:color="auto"/>
              <w:left w:val="single" w:sz="6" w:space="0" w:color="auto"/>
              <w:bottom w:val="single" w:sz="6" w:space="0" w:color="auto"/>
              <w:right w:val="single" w:sz="6" w:space="0" w:color="auto"/>
            </w:tcBorders>
          </w:tcPr>
          <w:p w14:paraId="429B14A4" w14:textId="18D3091D" w:rsidR="005A4A6E" w:rsidRPr="00F745DE" w:rsidRDefault="005A4A6E" w:rsidP="005A4A6E">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5273AF51" w14:textId="77777777" w:rsidR="005A4A6E" w:rsidRPr="00F745DE" w:rsidRDefault="005A4A6E" w:rsidP="005A4A6E">
            <w:pPr>
              <w:jc w:val="center"/>
              <w:rPr>
                <w:rFonts w:cs="Arial"/>
                <w:sz w:val="18"/>
                <w:lang w:val="en-GB"/>
              </w:rPr>
            </w:pPr>
          </w:p>
        </w:tc>
      </w:tr>
      <w:tr w:rsidR="005A4A6E" w:rsidRPr="00F745DE" w14:paraId="79941AA8"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7A053E00" w14:textId="17FC9620" w:rsidR="005A4A6E" w:rsidRPr="00F745DE" w:rsidRDefault="005A4A6E" w:rsidP="00E5576F">
            <w:pPr>
              <w:rPr>
                <w:rFonts w:cs="Arial"/>
                <w:sz w:val="18"/>
                <w:lang w:val="en-GB"/>
              </w:rPr>
            </w:pPr>
            <w:r w:rsidRPr="00F745DE">
              <w:rPr>
                <w:rFonts w:cs="Arial"/>
                <w:sz w:val="18"/>
                <w:lang w:val="en-GB"/>
              </w:rPr>
              <w:t>Demonstrable organisational abilities</w:t>
            </w:r>
          </w:p>
        </w:tc>
        <w:tc>
          <w:tcPr>
            <w:tcW w:w="1063" w:type="dxa"/>
            <w:tcBorders>
              <w:top w:val="single" w:sz="6" w:space="0" w:color="auto"/>
              <w:left w:val="single" w:sz="6" w:space="0" w:color="auto"/>
              <w:bottom w:val="single" w:sz="6" w:space="0" w:color="auto"/>
              <w:right w:val="single" w:sz="6" w:space="0" w:color="auto"/>
            </w:tcBorders>
          </w:tcPr>
          <w:p w14:paraId="36287BDD" w14:textId="73115C66" w:rsidR="005A4A6E" w:rsidRPr="00F745DE" w:rsidRDefault="005A4A6E" w:rsidP="005A4A6E">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4A249C7C" w14:textId="77777777" w:rsidR="005A4A6E" w:rsidRPr="00F745DE" w:rsidRDefault="005A4A6E" w:rsidP="005A4A6E">
            <w:pPr>
              <w:jc w:val="center"/>
              <w:rPr>
                <w:rFonts w:cs="Arial"/>
                <w:sz w:val="18"/>
                <w:lang w:val="en-GB"/>
              </w:rPr>
            </w:pPr>
          </w:p>
        </w:tc>
      </w:tr>
      <w:tr w:rsidR="005B0822" w:rsidRPr="00F745DE" w14:paraId="2EFE7ADF" w14:textId="77777777" w:rsidTr="00E5576F">
        <w:tc>
          <w:tcPr>
            <w:tcW w:w="75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BBFBE3" w14:textId="77777777" w:rsidR="005B0822" w:rsidRPr="00F745DE" w:rsidRDefault="005B0822" w:rsidP="00E5576F">
            <w:pPr>
              <w:rPr>
                <w:rFonts w:cs="Arial"/>
                <w:b/>
                <w:sz w:val="18"/>
                <w:lang w:val="en-GB"/>
              </w:rPr>
            </w:pPr>
            <w:r w:rsidRPr="00F745DE">
              <w:rPr>
                <w:rFonts w:cs="Arial"/>
                <w:b/>
                <w:sz w:val="18"/>
                <w:lang w:val="en-GB"/>
              </w:rPr>
              <w:t>Experience</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BAF661" w14:textId="77777777" w:rsidR="005B0822" w:rsidRPr="00F745DE" w:rsidRDefault="005B0822" w:rsidP="00C578A8">
            <w:pPr>
              <w:spacing w:before="60" w:after="60"/>
              <w:jc w:val="center"/>
              <w:rPr>
                <w:rFonts w:cs="Arial"/>
                <w:b/>
                <w:sz w:val="18"/>
                <w:lang w:val="en-GB"/>
              </w:rPr>
            </w:pPr>
          </w:p>
        </w:tc>
        <w:tc>
          <w:tcPr>
            <w:tcW w:w="106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8AB995" w14:textId="77777777" w:rsidR="005B0822" w:rsidRPr="00F745DE" w:rsidRDefault="005B0822" w:rsidP="00C578A8">
            <w:pPr>
              <w:spacing w:before="60" w:after="60"/>
              <w:jc w:val="center"/>
              <w:rPr>
                <w:rFonts w:cs="Arial"/>
                <w:b/>
                <w:sz w:val="18"/>
                <w:lang w:val="en-GB"/>
              </w:rPr>
            </w:pPr>
          </w:p>
        </w:tc>
      </w:tr>
      <w:tr w:rsidR="005B0822" w:rsidRPr="00F745DE" w14:paraId="354141E1"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73BC8C82" w14:textId="1F7BF2D9" w:rsidR="005B0822" w:rsidRPr="00F745DE" w:rsidRDefault="004C1FF7" w:rsidP="00E5576F">
            <w:pPr>
              <w:rPr>
                <w:rFonts w:cs="Arial"/>
                <w:sz w:val="18"/>
                <w:lang w:val="en-GB"/>
              </w:rPr>
            </w:pPr>
            <w:r w:rsidRPr="00F745DE">
              <w:rPr>
                <w:rFonts w:cs="Arial"/>
                <w:sz w:val="18"/>
                <w:lang w:val="en-GB"/>
              </w:rPr>
              <w:t>Demonstrated Public Health leadership and decision making</w:t>
            </w:r>
          </w:p>
        </w:tc>
        <w:tc>
          <w:tcPr>
            <w:tcW w:w="1063" w:type="dxa"/>
            <w:tcBorders>
              <w:top w:val="single" w:sz="6" w:space="0" w:color="auto"/>
              <w:left w:val="single" w:sz="6" w:space="0" w:color="auto"/>
              <w:bottom w:val="single" w:sz="6" w:space="0" w:color="auto"/>
              <w:right w:val="single" w:sz="6" w:space="0" w:color="auto"/>
            </w:tcBorders>
            <w:vAlign w:val="center"/>
          </w:tcPr>
          <w:p w14:paraId="23674CB7" w14:textId="77777777" w:rsidR="005B0822" w:rsidRPr="00F745DE" w:rsidRDefault="005B0822" w:rsidP="00F6309D">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4CF6DB20" w14:textId="77777777" w:rsidR="005B0822" w:rsidRPr="00F745DE" w:rsidRDefault="005B0822" w:rsidP="00F6309D">
            <w:pPr>
              <w:jc w:val="center"/>
              <w:rPr>
                <w:rFonts w:cs="Arial"/>
                <w:sz w:val="18"/>
                <w:lang w:val="en-GB"/>
              </w:rPr>
            </w:pPr>
          </w:p>
        </w:tc>
      </w:tr>
      <w:tr w:rsidR="004C1FF7" w:rsidRPr="00F745DE" w14:paraId="150428F8"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2A608078" w14:textId="05F6B3D9" w:rsidR="004C1FF7" w:rsidRPr="00F745DE" w:rsidDel="00C94A6C" w:rsidRDefault="004C1FF7" w:rsidP="00E5576F">
            <w:pPr>
              <w:rPr>
                <w:rFonts w:cs="Arial"/>
                <w:sz w:val="18"/>
                <w:lang w:val="en-GB"/>
              </w:rPr>
            </w:pPr>
            <w:r w:rsidRPr="00F745DE">
              <w:rPr>
                <w:rFonts w:cs="Arial"/>
                <w:sz w:val="18"/>
                <w:lang w:val="en-GB"/>
              </w:rPr>
              <w:t>Demonstrated experience of knowledge mobilisation and evidence into practice.</w:t>
            </w:r>
          </w:p>
        </w:tc>
        <w:tc>
          <w:tcPr>
            <w:tcW w:w="1063" w:type="dxa"/>
            <w:tcBorders>
              <w:top w:val="single" w:sz="6" w:space="0" w:color="auto"/>
              <w:left w:val="single" w:sz="6" w:space="0" w:color="auto"/>
              <w:bottom w:val="single" w:sz="6" w:space="0" w:color="auto"/>
              <w:right w:val="single" w:sz="6" w:space="0" w:color="auto"/>
            </w:tcBorders>
            <w:vAlign w:val="center"/>
          </w:tcPr>
          <w:p w14:paraId="532D5788" w14:textId="7FCAE9A7" w:rsidR="004C1FF7" w:rsidRPr="00F745DE" w:rsidRDefault="00C112C3" w:rsidP="00F6309D">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0D83D161" w14:textId="2672B6D0" w:rsidR="004C1FF7" w:rsidRPr="00F745DE" w:rsidRDefault="004C1FF7" w:rsidP="00F6309D">
            <w:pPr>
              <w:jc w:val="center"/>
              <w:rPr>
                <w:rFonts w:cs="Arial"/>
                <w:sz w:val="18"/>
                <w:lang w:val="en-GB"/>
              </w:rPr>
            </w:pPr>
          </w:p>
        </w:tc>
      </w:tr>
      <w:tr w:rsidR="004C1FF7" w:rsidRPr="00F745DE" w14:paraId="694FBCFB"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262D352A" w14:textId="51BE6188" w:rsidR="004C1FF7" w:rsidRPr="00F745DE" w:rsidDel="00C94A6C" w:rsidRDefault="004C1FF7" w:rsidP="00E5576F">
            <w:pPr>
              <w:rPr>
                <w:rFonts w:cs="Arial"/>
                <w:sz w:val="18"/>
                <w:lang w:val="en-GB"/>
              </w:rPr>
            </w:pPr>
            <w:r w:rsidRPr="00F745DE">
              <w:rPr>
                <w:rFonts w:cs="Arial"/>
                <w:sz w:val="18"/>
                <w:lang w:val="en-GB"/>
              </w:rPr>
              <w:t>Teaching experience of undergraduate and postgraduate students including assessing or examining student progress, student project supervision, large group teaching, providing pastoral care to students</w:t>
            </w:r>
          </w:p>
        </w:tc>
        <w:tc>
          <w:tcPr>
            <w:tcW w:w="1063" w:type="dxa"/>
            <w:tcBorders>
              <w:top w:val="single" w:sz="6" w:space="0" w:color="auto"/>
              <w:left w:val="single" w:sz="6" w:space="0" w:color="auto"/>
              <w:bottom w:val="single" w:sz="6" w:space="0" w:color="auto"/>
              <w:right w:val="single" w:sz="6" w:space="0" w:color="auto"/>
            </w:tcBorders>
            <w:vAlign w:val="center"/>
          </w:tcPr>
          <w:p w14:paraId="2F5D5E3B" w14:textId="2A388FA4" w:rsidR="004C1FF7" w:rsidRPr="00F745DE" w:rsidRDefault="00FC6EB9" w:rsidP="00F6309D">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2BF4CC56" w14:textId="77777777" w:rsidR="004C1FF7" w:rsidRPr="00F745DE" w:rsidRDefault="004C1FF7" w:rsidP="00F6309D">
            <w:pPr>
              <w:jc w:val="center"/>
              <w:rPr>
                <w:rFonts w:cs="Arial"/>
                <w:sz w:val="18"/>
                <w:lang w:val="en-GB"/>
              </w:rPr>
            </w:pPr>
          </w:p>
        </w:tc>
      </w:tr>
      <w:tr w:rsidR="004C1FF7" w:rsidRPr="00F745DE" w14:paraId="540F2794"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566658EA" w14:textId="3DD489B2" w:rsidR="004C1FF7" w:rsidRPr="00F745DE" w:rsidDel="00C94A6C" w:rsidRDefault="004C1FF7" w:rsidP="00E5576F">
            <w:pPr>
              <w:rPr>
                <w:rFonts w:cs="Arial"/>
                <w:sz w:val="18"/>
                <w:lang w:val="en-GB"/>
              </w:rPr>
            </w:pPr>
            <w:r w:rsidRPr="00F745DE">
              <w:rPr>
                <w:rFonts w:cs="Arial"/>
                <w:sz w:val="18"/>
                <w:lang w:val="en-GB"/>
              </w:rPr>
              <w:t>Experience of working at the interface of academia and public health practice and a high level of understanding of academic and research environments</w:t>
            </w:r>
          </w:p>
        </w:tc>
        <w:tc>
          <w:tcPr>
            <w:tcW w:w="1063" w:type="dxa"/>
            <w:tcBorders>
              <w:top w:val="single" w:sz="6" w:space="0" w:color="auto"/>
              <w:left w:val="single" w:sz="6" w:space="0" w:color="auto"/>
              <w:bottom w:val="single" w:sz="6" w:space="0" w:color="auto"/>
              <w:right w:val="single" w:sz="6" w:space="0" w:color="auto"/>
            </w:tcBorders>
            <w:vAlign w:val="center"/>
          </w:tcPr>
          <w:p w14:paraId="2F6DDDD4" w14:textId="56EB4345" w:rsidR="004C1FF7" w:rsidRPr="00F745DE" w:rsidRDefault="00FC6EB9" w:rsidP="00F6309D">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24E3D92C" w14:textId="77777777" w:rsidR="004C1FF7" w:rsidRPr="00F745DE" w:rsidRDefault="004C1FF7" w:rsidP="00F6309D">
            <w:pPr>
              <w:jc w:val="center"/>
              <w:rPr>
                <w:rFonts w:cs="Arial"/>
                <w:sz w:val="18"/>
                <w:lang w:val="en-GB"/>
              </w:rPr>
            </w:pPr>
          </w:p>
        </w:tc>
      </w:tr>
      <w:tr w:rsidR="004C1FF7" w:rsidRPr="00F745DE" w14:paraId="69A1FE5A"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73C5DCD7" w14:textId="2AC8AF95" w:rsidR="004C1FF7" w:rsidRPr="00F745DE" w:rsidDel="00C94A6C" w:rsidRDefault="004C1FF7" w:rsidP="00E5576F">
            <w:pPr>
              <w:rPr>
                <w:rFonts w:cs="Arial"/>
                <w:sz w:val="18"/>
                <w:lang w:val="en-GB"/>
              </w:rPr>
            </w:pPr>
            <w:r w:rsidRPr="00F745DE">
              <w:rPr>
                <w:rFonts w:cs="Arial"/>
                <w:sz w:val="18"/>
                <w:lang w:val="en-GB"/>
              </w:rPr>
              <w:t>Experience or knowledge of working within a health care environment or in a public health setting</w:t>
            </w:r>
          </w:p>
        </w:tc>
        <w:tc>
          <w:tcPr>
            <w:tcW w:w="1063" w:type="dxa"/>
            <w:tcBorders>
              <w:top w:val="single" w:sz="6" w:space="0" w:color="auto"/>
              <w:left w:val="single" w:sz="6" w:space="0" w:color="auto"/>
              <w:bottom w:val="single" w:sz="6" w:space="0" w:color="auto"/>
              <w:right w:val="single" w:sz="6" w:space="0" w:color="auto"/>
            </w:tcBorders>
            <w:vAlign w:val="center"/>
          </w:tcPr>
          <w:p w14:paraId="08B60DFC" w14:textId="61076FBA" w:rsidR="004C1FF7" w:rsidRPr="00F745DE" w:rsidRDefault="00FC6EB9" w:rsidP="00F6309D">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4B4322FC" w14:textId="77777777" w:rsidR="004C1FF7" w:rsidRPr="00F745DE" w:rsidRDefault="004C1FF7" w:rsidP="00F6309D">
            <w:pPr>
              <w:jc w:val="center"/>
              <w:rPr>
                <w:rFonts w:cs="Arial"/>
                <w:sz w:val="18"/>
                <w:lang w:val="en-GB"/>
              </w:rPr>
            </w:pPr>
          </w:p>
        </w:tc>
      </w:tr>
      <w:tr w:rsidR="004C1FF7" w:rsidRPr="00F745DE" w14:paraId="516BAEA9"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7EB9EA5B" w14:textId="50BC1E6F" w:rsidR="004C1FF7" w:rsidRPr="00F745DE" w:rsidDel="00C94A6C" w:rsidRDefault="004C1FF7" w:rsidP="00E5576F">
            <w:pPr>
              <w:rPr>
                <w:rFonts w:cs="Arial"/>
                <w:sz w:val="18"/>
                <w:lang w:val="en-GB"/>
              </w:rPr>
            </w:pPr>
            <w:r w:rsidRPr="00F745DE">
              <w:rPr>
                <w:rFonts w:cs="Arial"/>
                <w:sz w:val="18"/>
                <w:lang w:val="en-GB"/>
              </w:rPr>
              <w:t xml:space="preserve">Experience of working in, or an in-depth understanding of, </w:t>
            </w:r>
            <w:r w:rsidR="00FC6EB9" w:rsidRPr="00F745DE">
              <w:rPr>
                <w:rFonts w:cs="Arial"/>
                <w:sz w:val="18"/>
                <w:lang w:val="en-GB"/>
              </w:rPr>
              <w:t>a national public health body</w:t>
            </w:r>
          </w:p>
        </w:tc>
        <w:tc>
          <w:tcPr>
            <w:tcW w:w="1063" w:type="dxa"/>
            <w:tcBorders>
              <w:top w:val="single" w:sz="6" w:space="0" w:color="auto"/>
              <w:left w:val="single" w:sz="6" w:space="0" w:color="auto"/>
              <w:bottom w:val="single" w:sz="6" w:space="0" w:color="auto"/>
              <w:right w:val="single" w:sz="6" w:space="0" w:color="auto"/>
            </w:tcBorders>
            <w:vAlign w:val="center"/>
          </w:tcPr>
          <w:p w14:paraId="3D60A45D" w14:textId="77777777" w:rsidR="004C1FF7" w:rsidRPr="00F745DE" w:rsidRDefault="004C1FF7" w:rsidP="00F6309D">
            <w:pPr>
              <w:jc w:val="center"/>
              <w:rPr>
                <w:rFonts w:cs="Arial"/>
                <w:sz w:val="18"/>
                <w:lang w:val="en-GB"/>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3F8E4EA4" w14:textId="5BE86CA7" w:rsidR="004C1FF7" w:rsidRPr="00F745DE" w:rsidRDefault="00FC6EB9" w:rsidP="00F6309D">
            <w:pPr>
              <w:jc w:val="center"/>
              <w:rPr>
                <w:rFonts w:cs="Arial"/>
                <w:sz w:val="18"/>
                <w:lang w:val="en-GB"/>
              </w:rPr>
            </w:pPr>
            <w:r w:rsidRPr="00F745DE">
              <w:rPr>
                <w:rFonts w:cs="Arial"/>
                <w:sz w:val="18"/>
                <w:lang w:val="en-GB"/>
              </w:rPr>
              <w:t>X</w:t>
            </w:r>
          </w:p>
        </w:tc>
      </w:tr>
      <w:tr w:rsidR="004C1FF7" w:rsidRPr="00F745DE" w14:paraId="2D84DFF7"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1DF01B51" w14:textId="143AB1EE" w:rsidR="004C1FF7" w:rsidRPr="00F745DE" w:rsidDel="00C94A6C" w:rsidRDefault="004C1FF7" w:rsidP="00E5576F">
            <w:pPr>
              <w:rPr>
                <w:rFonts w:cs="Arial"/>
                <w:sz w:val="18"/>
                <w:lang w:val="en-GB"/>
              </w:rPr>
            </w:pPr>
            <w:r w:rsidRPr="00F745DE">
              <w:rPr>
                <w:rFonts w:cs="Arial"/>
                <w:sz w:val="18"/>
                <w:lang w:val="en-GB"/>
              </w:rPr>
              <w:t>Experience of working in, or in depth understanding of, the NHS, CCG’s, local authorities and social services</w:t>
            </w:r>
          </w:p>
        </w:tc>
        <w:tc>
          <w:tcPr>
            <w:tcW w:w="1063" w:type="dxa"/>
            <w:tcBorders>
              <w:top w:val="single" w:sz="6" w:space="0" w:color="auto"/>
              <w:left w:val="single" w:sz="6" w:space="0" w:color="auto"/>
              <w:bottom w:val="single" w:sz="6" w:space="0" w:color="auto"/>
              <w:right w:val="single" w:sz="6" w:space="0" w:color="auto"/>
            </w:tcBorders>
            <w:vAlign w:val="center"/>
          </w:tcPr>
          <w:p w14:paraId="1F54C440" w14:textId="2AF7CC19" w:rsidR="004C1FF7" w:rsidRPr="00F745DE" w:rsidRDefault="00F6309D" w:rsidP="00F6309D">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11F98C37" w14:textId="77777777" w:rsidR="004C1FF7" w:rsidRPr="00F745DE" w:rsidRDefault="004C1FF7" w:rsidP="00F6309D">
            <w:pPr>
              <w:jc w:val="center"/>
              <w:rPr>
                <w:rFonts w:cs="Arial"/>
                <w:sz w:val="18"/>
                <w:lang w:val="en-GB"/>
              </w:rPr>
            </w:pPr>
          </w:p>
        </w:tc>
      </w:tr>
      <w:tr w:rsidR="005B0822" w:rsidRPr="00F745DE" w14:paraId="5CAB2C19" w14:textId="77777777" w:rsidTr="00E5576F">
        <w:tc>
          <w:tcPr>
            <w:tcW w:w="75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BC52A4" w14:textId="77777777" w:rsidR="005B0822" w:rsidRPr="00F745DE" w:rsidRDefault="005B0822" w:rsidP="00E5576F">
            <w:pPr>
              <w:rPr>
                <w:rFonts w:cs="Arial"/>
                <w:b/>
                <w:sz w:val="18"/>
                <w:lang w:val="en-GB"/>
              </w:rPr>
            </w:pPr>
            <w:r w:rsidRPr="00F745DE">
              <w:rPr>
                <w:rFonts w:cs="Arial"/>
                <w:b/>
                <w:sz w:val="18"/>
                <w:lang w:val="en-GB"/>
              </w:rPr>
              <w:t>Skills</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BB1194" w14:textId="77777777" w:rsidR="005B0822" w:rsidRPr="00F745DE" w:rsidRDefault="005B0822" w:rsidP="00C578A8">
            <w:pPr>
              <w:spacing w:before="60" w:after="60"/>
              <w:jc w:val="center"/>
              <w:rPr>
                <w:rFonts w:cs="Arial"/>
                <w:b/>
                <w:sz w:val="18"/>
                <w:lang w:val="en-GB"/>
              </w:rPr>
            </w:pPr>
          </w:p>
        </w:tc>
        <w:tc>
          <w:tcPr>
            <w:tcW w:w="106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9E36D9" w14:textId="77777777" w:rsidR="005B0822" w:rsidRPr="00F745DE" w:rsidRDefault="005B0822" w:rsidP="00C578A8">
            <w:pPr>
              <w:spacing w:before="60" w:after="60"/>
              <w:jc w:val="center"/>
              <w:rPr>
                <w:rFonts w:cs="Arial"/>
                <w:b/>
                <w:sz w:val="18"/>
                <w:lang w:val="en-GB"/>
              </w:rPr>
            </w:pPr>
          </w:p>
        </w:tc>
      </w:tr>
      <w:tr w:rsidR="005B0822" w:rsidRPr="00F745DE" w14:paraId="02CA53B3"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2DC7B24B" w14:textId="00D9128E" w:rsidR="005B0822" w:rsidRPr="00F745DE" w:rsidRDefault="00F25E7C" w:rsidP="00E5576F">
            <w:pPr>
              <w:pStyle w:val="Header"/>
              <w:tabs>
                <w:tab w:val="clear" w:pos="4153"/>
                <w:tab w:val="clear" w:pos="8306"/>
              </w:tabs>
              <w:rPr>
                <w:rFonts w:ascii="Arial" w:hAnsi="Arial" w:cs="Arial"/>
                <w:sz w:val="18"/>
              </w:rPr>
            </w:pPr>
            <w:r w:rsidRPr="00F745DE">
              <w:rPr>
                <w:rFonts w:ascii="Arial" w:hAnsi="Arial" w:cs="Arial"/>
                <w:sz w:val="18"/>
              </w:rPr>
              <w:t xml:space="preserve">Clear understanding of key public health concepts, epidemiology and statistics, public health practice, health promotion, health policy, health economics and health care evaluation. </w:t>
            </w:r>
          </w:p>
        </w:tc>
        <w:tc>
          <w:tcPr>
            <w:tcW w:w="1063" w:type="dxa"/>
            <w:tcBorders>
              <w:top w:val="single" w:sz="6" w:space="0" w:color="auto"/>
              <w:left w:val="single" w:sz="6" w:space="0" w:color="auto"/>
              <w:bottom w:val="single" w:sz="6" w:space="0" w:color="auto"/>
              <w:right w:val="single" w:sz="6" w:space="0" w:color="auto"/>
            </w:tcBorders>
            <w:vAlign w:val="center"/>
          </w:tcPr>
          <w:p w14:paraId="610FC0B5" w14:textId="77777777" w:rsidR="005B0822" w:rsidRPr="00F745DE" w:rsidRDefault="005B0822" w:rsidP="00F25E7C">
            <w:pPr>
              <w:pStyle w:val="Header"/>
              <w:tabs>
                <w:tab w:val="clear" w:pos="4153"/>
                <w:tab w:val="clear" w:pos="8306"/>
              </w:tabs>
              <w:jc w:val="center"/>
              <w:rPr>
                <w:rFonts w:ascii="Arial" w:hAnsi="Arial" w:cs="Arial"/>
                <w:sz w:val="18"/>
              </w:rPr>
            </w:pPr>
            <w:r w:rsidRPr="00F745DE">
              <w:rPr>
                <w:rFonts w:ascii="Arial" w:hAnsi="Arial" w:cs="Arial"/>
                <w:sz w:val="18"/>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3460DB50" w14:textId="77777777" w:rsidR="005B0822" w:rsidRPr="00F745DE" w:rsidRDefault="005B0822" w:rsidP="00F25E7C">
            <w:pPr>
              <w:pStyle w:val="Header"/>
              <w:tabs>
                <w:tab w:val="clear" w:pos="4153"/>
                <w:tab w:val="clear" w:pos="8306"/>
              </w:tabs>
              <w:rPr>
                <w:rFonts w:ascii="Arial" w:hAnsi="Arial" w:cs="Arial"/>
                <w:sz w:val="18"/>
              </w:rPr>
            </w:pPr>
          </w:p>
        </w:tc>
      </w:tr>
      <w:tr w:rsidR="005B0822" w:rsidRPr="00F745DE" w14:paraId="67B77AEB"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26F9A005" w14:textId="00342BA6" w:rsidR="005B0822" w:rsidRPr="00F745DE" w:rsidRDefault="00F25E7C" w:rsidP="00E5576F">
            <w:pPr>
              <w:pStyle w:val="Header"/>
              <w:tabs>
                <w:tab w:val="clear" w:pos="4153"/>
                <w:tab w:val="clear" w:pos="8306"/>
              </w:tabs>
              <w:rPr>
                <w:rFonts w:ascii="Arial" w:hAnsi="Arial" w:cs="Arial"/>
                <w:sz w:val="18"/>
              </w:rPr>
            </w:pPr>
            <w:r w:rsidRPr="00F745DE">
              <w:rPr>
                <w:rFonts w:ascii="Arial" w:hAnsi="Arial" w:cs="Arial"/>
                <w:sz w:val="18"/>
              </w:rPr>
              <w:t>Demonstrated ability and understanding of knowledge mobilisation and knowledge translation</w:t>
            </w:r>
          </w:p>
        </w:tc>
        <w:tc>
          <w:tcPr>
            <w:tcW w:w="1063" w:type="dxa"/>
            <w:tcBorders>
              <w:top w:val="single" w:sz="6" w:space="0" w:color="auto"/>
              <w:left w:val="single" w:sz="6" w:space="0" w:color="auto"/>
              <w:bottom w:val="single" w:sz="6" w:space="0" w:color="auto"/>
              <w:right w:val="single" w:sz="6" w:space="0" w:color="auto"/>
            </w:tcBorders>
            <w:vAlign w:val="center"/>
          </w:tcPr>
          <w:p w14:paraId="517C96D1" w14:textId="77777777" w:rsidR="005B0822" w:rsidRPr="00F745DE" w:rsidRDefault="005B0822" w:rsidP="00F25E7C">
            <w:pPr>
              <w:pStyle w:val="Header"/>
              <w:tabs>
                <w:tab w:val="clear" w:pos="4153"/>
                <w:tab w:val="clear" w:pos="8306"/>
              </w:tabs>
              <w:jc w:val="center"/>
              <w:rPr>
                <w:rFonts w:ascii="Arial" w:hAnsi="Arial" w:cs="Arial"/>
                <w:sz w:val="18"/>
              </w:rPr>
            </w:pPr>
            <w:r w:rsidRPr="00F745DE">
              <w:rPr>
                <w:rFonts w:ascii="Arial" w:hAnsi="Arial" w:cs="Arial"/>
                <w:sz w:val="18"/>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33B2A6D8" w14:textId="77777777" w:rsidR="005B0822" w:rsidRPr="00F745DE" w:rsidRDefault="005B0822" w:rsidP="00F25E7C">
            <w:pPr>
              <w:pStyle w:val="Header"/>
              <w:tabs>
                <w:tab w:val="clear" w:pos="4153"/>
                <w:tab w:val="clear" w:pos="8306"/>
              </w:tabs>
              <w:rPr>
                <w:rFonts w:ascii="Arial" w:hAnsi="Arial" w:cs="Arial"/>
                <w:sz w:val="18"/>
              </w:rPr>
            </w:pPr>
          </w:p>
        </w:tc>
      </w:tr>
      <w:tr w:rsidR="005B0822" w:rsidRPr="00F745DE" w14:paraId="0E12DE1C"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04F36A08" w14:textId="1B139092" w:rsidR="005B0822" w:rsidRPr="00F745DE" w:rsidRDefault="00F25E7C" w:rsidP="00E5576F">
            <w:pPr>
              <w:pStyle w:val="Header"/>
              <w:tabs>
                <w:tab w:val="clear" w:pos="4153"/>
                <w:tab w:val="clear" w:pos="8306"/>
              </w:tabs>
              <w:rPr>
                <w:rFonts w:ascii="Arial" w:hAnsi="Arial" w:cs="Arial"/>
                <w:sz w:val="18"/>
              </w:rPr>
            </w:pPr>
            <w:r w:rsidRPr="00F745DE">
              <w:rPr>
                <w:rFonts w:ascii="Arial" w:hAnsi="Arial" w:cs="Arial"/>
                <w:sz w:val="18"/>
              </w:rPr>
              <w:t>Ability to link public health theory and practice</w:t>
            </w:r>
          </w:p>
        </w:tc>
        <w:tc>
          <w:tcPr>
            <w:tcW w:w="1063" w:type="dxa"/>
            <w:tcBorders>
              <w:top w:val="single" w:sz="6" w:space="0" w:color="auto"/>
              <w:left w:val="single" w:sz="6" w:space="0" w:color="auto"/>
              <w:bottom w:val="single" w:sz="6" w:space="0" w:color="auto"/>
              <w:right w:val="single" w:sz="6" w:space="0" w:color="auto"/>
            </w:tcBorders>
            <w:vAlign w:val="center"/>
          </w:tcPr>
          <w:p w14:paraId="09377486" w14:textId="77777777" w:rsidR="005B0822" w:rsidRPr="00F745DE" w:rsidRDefault="005B0822" w:rsidP="00F25E7C">
            <w:pPr>
              <w:pStyle w:val="Header"/>
              <w:tabs>
                <w:tab w:val="clear" w:pos="4153"/>
                <w:tab w:val="clear" w:pos="8306"/>
              </w:tabs>
              <w:jc w:val="center"/>
              <w:rPr>
                <w:rFonts w:ascii="Arial" w:hAnsi="Arial" w:cs="Arial"/>
                <w:sz w:val="18"/>
              </w:rPr>
            </w:pPr>
            <w:r w:rsidRPr="00F745DE">
              <w:rPr>
                <w:rFonts w:ascii="Arial" w:hAnsi="Arial" w:cs="Arial"/>
                <w:sz w:val="18"/>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2F7DF453" w14:textId="77777777" w:rsidR="005B0822" w:rsidRPr="00F745DE" w:rsidRDefault="005B0822" w:rsidP="00F25E7C">
            <w:pPr>
              <w:pStyle w:val="Header"/>
              <w:tabs>
                <w:tab w:val="clear" w:pos="4153"/>
                <w:tab w:val="clear" w:pos="8306"/>
              </w:tabs>
              <w:rPr>
                <w:rFonts w:ascii="Arial" w:hAnsi="Arial" w:cs="Arial"/>
                <w:sz w:val="18"/>
              </w:rPr>
            </w:pPr>
          </w:p>
        </w:tc>
      </w:tr>
      <w:tr w:rsidR="005B0822" w:rsidRPr="00F745DE" w14:paraId="6F9D20B6" w14:textId="77777777" w:rsidTr="00E5576F">
        <w:tc>
          <w:tcPr>
            <w:tcW w:w="75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1004E9" w14:textId="77777777" w:rsidR="005B0822" w:rsidRPr="00F745DE" w:rsidRDefault="005B0822" w:rsidP="00E5576F">
            <w:pPr>
              <w:rPr>
                <w:rFonts w:cs="Arial"/>
                <w:b/>
                <w:sz w:val="18"/>
                <w:lang w:val="en-GB"/>
              </w:rPr>
            </w:pPr>
            <w:r w:rsidRPr="00F745DE">
              <w:rPr>
                <w:rFonts w:cs="Arial"/>
                <w:b/>
                <w:sz w:val="18"/>
                <w:lang w:val="en-GB"/>
              </w:rPr>
              <w:t>Knowledge</w:t>
            </w:r>
          </w:p>
        </w:tc>
        <w:tc>
          <w:tcPr>
            <w:tcW w:w="10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994CB8" w14:textId="77777777" w:rsidR="005B0822" w:rsidRPr="00F745DE" w:rsidRDefault="005B0822" w:rsidP="00C578A8">
            <w:pPr>
              <w:spacing w:before="60" w:after="60"/>
              <w:jc w:val="center"/>
              <w:rPr>
                <w:rFonts w:cs="Arial"/>
                <w:b/>
                <w:i/>
                <w:sz w:val="18"/>
                <w:lang w:val="en-GB"/>
              </w:rPr>
            </w:pPr>
          </w:p>
        </w:tc>
        <w:tc>
          <w:tcPr>
            <w:tcW w:w="106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20DBCE" w14:textId="77777777" w:rsidR="005B0822" w:rsidRPr="00F745DE" w:rsidRDefault="005B0822" w:rsidP="00C578A8">
            <w:pPr>
              <w:spacing w:before="60" w:after="60"/>
              <w:jc w:val="center"/>
              <w:rPr>
                <w:rFonts w:cs="Arial"/>
                <w:b/>
                <w:i/>
                <w:sz w:val="18"/>
                <w:lang w:val="en-GB"/>
              </w:rPr>
            </w:pPr>
          </w:p>
        </w:tc>
      </w:tr>
      <w:tr w:rsidR="005B0822" w:rsidRPr="00F745DE" w14:paraId="718CA9C8"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79FCCCC4" w14:textId="2E6C247C" w:rsidR="005B0822" w:rsidRPr="00F745DE" w:rsidRDefault="004C1FF7" w:rsidP="00E5576F">
            <w:pPr>
              <w:pStyle w:val="Header"/>
              <w:rPr>
                <w:rFonts w:ascii="Arial" w:hAnsi="Arial" w:cs="Arial"/>
                <w:sz w:val="18"/>
              </w:rPr>
            </w:pPr>
            <w:r w:rsidRPr="00F745DE">
              <w:rPr>
                <w:rFonts w:ascii="Arial" w:hAnsi="Arial" w:cs="Arial"/>
                <w:sz w:val="18"/>
              </w:rPr>
              <w:lastRenderedPageBreak/>
              <w:t>Clear understanding of key public health concepts, epidemiology and statistics, public health practice, health promotion, health policy, health economics and health care evaluation</w:t>
            </w:r>
          </w:p>
        </w:tc>
        <w:tc>
          <w:tcPr>
            <w:tcW w:w="1063" w:type="dxa"/>
            <w:tcBorders>
              <w:top w:val="single" w:sz="6" w:space="0" w:color="auto"/>
              <w:left w:val="single" w:sz="6" w:space="0" w:color="auto"/>
              <w:bottom w:val="single" w:sz="6" w:space="0" w:color="auto"/>
              <w:right w:val="single" w:sz="6" w:space="0" w:color="auto"/>
            </w:tcBorders>
            <w:vAlign w:val="center"/>
          </w:tcPr>
          <w:p w14:paraId="724875B5" w14:textId="77777777" w:rsidR="005B0822" w:rsidRPr="00F745DE" w:rsidRDefault="005B0822" w:rsidP="00C578A8">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60D8A05B" w14:textId="77777777" w:rsidR="005B0822" w:rsidRPr="00F745DE" w:rsidRDefault="005B0822" w:rsidP="00C578A8">
            <w:pPr>
              <w:jc w:val="center"/>
              <w:rPr>
                <w:rFonts w:cs="Arial"/>
                <w:sz w:val="18"/>
                <w:lang w:val="en-GB"/>
              </w:rPr>
            </w:pPr>
          </w:p>
        </w:tc>
      </w:tr>
      <w:tr w:rsidR="005B0822" w:rsidRPr="00F745DE" w14:paraId="579E77DE"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3C5A5EFC" w14:textId="3983CD82" w:rsidR="005B0822" w:rsidRPr="00F745DE" w:rsidRDefault="004C1FF7" w:rsidP="00E5576F">
            <w:pPr>
              <w:rPr>
                <w:rFonts w:cs="Arial"/>
                <w:sz w:val="18"/>
                <w:lang w:val="en-GB"/>
              </w:rPr>
            </w:pPr>
            <w:r w:rsidRPr="00F745DE">
              <w:rPr>
                <w:rFonts w:cs="Arial"/>
                <w:sz w:val="18"/>
              </w:rPr>
              <w:t xml:space="preserve">Demonstrated ability and understanding of knowledge </w:t>
            </w:r>
            <w:r w:rsidR="00E5576F" w:rsidRPr="00F745DE">
              <w:rPr>
                <w:rFonts w:cs="Arial"/>
                <w:sz w:val="18"/>
              </w:rPr>
              <w:t>mobilization</w:t>
            </w:r>
            <w:r w:rsidRPr="00F745DE">
              <w:rPr>
                <w:rFonts w:cs="Arial"/>
                <w:sz w:val="18"/>
              </w:rPr>
              <w:t xml:space="preserve"> and knowledge translation</w:t>
            </w:r>
          </w:p>
        </w:tc>
        <w:tc>
          <w:tcPr>
            <w:tcW w:w="1063" w:type="dxa"/>
            <w:tcBorders>
              <w:top w:val="single" w:sz="6" w:space="0" w:color="auto"/>
              <w:left w:val="single" w:sz="6" w:space="0" w:color="auto"/>
              <w:bottom w:val="single" w:sz="6" w:space="0" w:color="auto"/>
              <w:right w:val="single" w:sz="6" w:space="0" w:color="auto"/>
            </w:tcBorders>
            <w:vAlign w:val="center"/>
          </w:tcPr>
          <w:p w14:paraId="71FAB0CD" w14:textId="77777777" w:rsidR="005B0822" w:rsidRPr="00F745DE" w:rsidRDefault="005B0822" w:rsidP="00C578A8">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395D9EB6" w14:textId="77777777" w:rsidR="005B0822" w:rsidRPr="00F745DE" w:rsidRDefault="005B0822" w:rsidP="00C578A8">
            <w:pPr>
              <w:jc w:val="center"/>
              <w:rPr>
                <w:rFonts w:cs="Arial"/>
                <w:sz w:val="18"/>
                <w:lang w:val="en-GB"/>
              </w:rPr>
            </w:pPr>
          </w:p>
        </w:tc>
      </w:tr>
      <w:tr w:rsidR="005B0822" w:rsidRPr="00F745DE" w14:paraId="43A9F538" w14:textId="77777777" w:rsidTr="00E5576F">
        <w:tc>
          <w:tcPr>
            <w:tcW w:w="7513" w:type="dxa"/>
            <w:tcBorders>
              <w:top w:val="single" w:sz="6" w:space="0" w:color="auto"/>
              <w:left w:val="single" w:sz="6" w:space="0" w:color="auto"/>
              <w:bottom w:val="single" w:sz="6" w:space="0" w:color="auto"/>
              <w:right w:val="single" w:sz="6" w:space="0" w:color="auto"/>
            </w:tcBorders>
            <w:vAlign w:val="center"/>
          </w:tcPr>
          <w:p w14:paraId="756971FC" w14:textId="325EBC39" w:rsidR="005B0822" w:rsidRPr="00F745DE" w:rsidRDefault="004C1FF7" w:rsidP="00E5576F">
            <w:pPr>
              <w:rPr>
                <w:rFonts w:cs="Arial"/>
                <w:sz w:val="18"/>
                <w:lang w:val="en-GB"/>
              </w:rPr>
            </w:pPr>
            <w:r w:rsidRPr="00F745DE">
              <w:rPr>
                <w:rFonts w:cs="Arial"/>
                <w:sz w:val="18"/>
              </w:rPr>
              <w:t>Ability to link public health theory and practice</w:t>
            </w:r>
          </w:p>
        </w:tc>
        <w:tc>
          <w:tcPr>
            <w:tcW w:w="1063" w:type="dxa"/>
            <w:tcBorders>
              <w:top w:val="single" w:sz="6" w:space="0" w:color="auto"/>
              <w:left w:val="single" w:sz="6" w:space="0" w:color="auto"/>
              <w:bottom w:val="single" w:sz="6" w:space="0" w:color="auto"/>
              <w:right w:val="single" w:sz="6" w:space="0" w:color="auto"/>
            </w:tcBorders>
            <w:vAlign w:val="center"/>
          </w:tcPr>
          <w:p w14:paraId="6946D7CA" w14:textId="77777777" w:rsidR="005B0822" w:rsidRPr="00F745DE" w:rsidRDefault="005B0822" w:rsidP="00C578A8">
            <w:pPr>
              <w:jc w:val="center"/>
              <w:rPr>
                <w:rFonts w:cs="Arial"/>
                <w:sz w:val="18"/>
                <w:lang w:val="en-GB"/>
              </w:rPr>
            </w:pPr>
            <w:r w:rsidRPr="00F745DE">
              <w:rPr>
                <w:rFonts w:cs="Arial"/>
                <w:sz w:val="18"/>
                <w:lang w:val="en-GB"/>
              </w:rPr>
              <w:t>X</w:t>
            </w:r>
          </w:p>
        </w:tc>
        <w:tc>
          <w:tcPr>
            <w:tcW w:w="1063" w:type="dxa"/>
            <w:gridSpan w:val="2"/>
            <w:tcBorders>
              <w:top w:val="single" w:sz="6" w:space="0" w:color="auto"/>
              <w:left w:val="single" w:sz="6" w:space="0" w:color="auto"/>
              <w:bottom w:val="single" w:sz="6" w:space="0" w:color="auto"/>
              <w:right w:val="single" w:sz="6" w:space="0" w:color="auto"/>
            </w:tcBorders>
            <w:vAlign w:val="center"/>
          </w:tcPr>
          <w:p w14:paraId="5DD15B57" w14:textId="77777777" w:rsidR="005B0822" w:rsidRPr="00F745DE" w:rsidRDefault="005B0822" w:rsidP="00C578A8">
            <w:pPr>
              <w:jc w:val="center"/>
              <w:rPr>
                <w:rFonts w:cs="Arial"/>
                <w:sz w:val="18"/>
                <w:lang w:val="en-GB"/>
              </w:rPr>
            </w:pPr>
          </w:p>
        </w:tc>
      </w:tr>
      <w:tr w:rsidR="00314D16" w:rsidRPr="00F745DE" w14:paraId="27D7F878" w14:textId="77777777" w:rsidTr="00E5576F">
        <w:trPr>
          <w:gridAfter w:val="1"/>
          <w:wAfter w:w="28" w:type="dxa"/>
        </w:trPr>
        <w:tc>
          <w:tcPr>
            <w:tcW w:w="963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64F355" w14:textId="77777777" w:rsidR="00314D16" w:rsidRPr="00F745DE" w:rsidRDefault="00314D16" w:rsidP="00E5576F">
            <w:pPr>
              <w:rPr>
                <w:rFonts w:cs="Arial"/>
                <w:b/>
                <w:sz w:val="18"/>
                <w:lang w:val="en-GB"/>
              </w:rPr>
            </w:pPr>
            <w:r w:rsidRPr="00F745DE">
              <w:rPr>
                <w:rFonts w:cs="Arial"/>
                <w:b/>
                <w:sz w:val="18"/>
                <w:lang w:val="en-GB"/>
              </w:rPr>
              <w:t>Equality and diversity</w:t>
            </w:r>
          </w:p>
        </w:tc>
      </w:tr>
      <w:tr w:rsidR="00314D16" w:rsidRPr="00F745DE" w14:paraId="1311B0A7" w14:textId="77777777" w:rsidTr="00E5576F">
        <w:trPr>
          <w:gridAfter w:val="1"/>
          <w:wAfter w:w="28" w:type="dxa"/>
        </w:trPr>
        <w:tc>
          <w:tcPr>
            <w:tcW w:w="7513" w:type="dxa"/>
            <w:tcBorders>
              <w:top w:val="single" w:sz="6" w:space="0" w:color="auto"/>
              <w:left w:val="single" w:sz="6" w:space="0" w:color="auto"/>
              <w:bottom w:val="single" w:sz="6" w:space="0" w:color="auto"/>
              <w:right w:val="single" w:sz="6" w:space="0" w:color="auto"/>
            </w:tcBorders>
            <w:vAlign w:val="center"/>
          </w:tcPr>
          <w:p w14:paraId="2363DF59" w14:textId="77777777" w:rsidR="00314D16" w:rsidRPr="00F745DE" w:rsidRDefault="00314D16" w:rsidP="00E5576F">
            <w:pPr>
              <w:rPr>
                <w:rFonts w:cs="Arial"/>
                <w:sz w:val="18"/>
              </w:rPr>
            </w:pPr>
            <w:r w:rsidRPr="00F745DE">
              <w:rPr>
                <w:rFonts w:cs="Arial"/>
                <w:sz w:val="18"/>
              </w:rPr>
              <w:t>An understanding of and commitment to equality of opportunity and good working relationships, both in terms of day-to-day working practices, but also in relation to management system</w:t>
            </w:r>
          </w:p>
        </w:tc>
        <w:tc>
          <w:tcPr>
            <w:tcW w:w="1063" w:type="dxa"/>
            <w:tcBorders>
              <w:top w:val="single" w:sz="6" w:space="0" w:color="auto"/>
              <w:left w:val="single" w:sz="6" w:space="0" w:color="auto"/>
              <w:bottom w:val="single" w:sz="6" w:space="0" w:color="auto"/>
              <w:right w:val="single" w:sz="6" w:space="0" w:color="auto"/>
            </w:tcBorders>
            <w:vAlign w:val="center"/>
          </w:tcPr>
          <w:p w14:paraId="497C254F" w14:textId="77777777" w:rsidR="00314D16" w:rsidRPr="00F745DE" w:rsidRDefault="00314D16" w:rsidP="00314D16">
            <w:pPr>
              <w:jc w:val="center"/>
              <w:rPr>
                <w:rFonts w:cs="Arial"/>
                <w:sz w:val="18"/>
              </w:rPr>
            </w:pPr>
            <w:r w:rsidRPr="00F745DE">
              <w:rPr>
                <w:rFonts w:cs="Arial"/>
                <w:sz w:val="18"/>
              </w:rPr>
              <w:t>X</w:t>
            </w:r>
          </w:p>
        </w:tc>
        <w:tc>
          <w:tcPr>
            <w:tcW w:w="1063" w:type="dxa"/>
            <w:tcBorders>
              <w:top w:val="single" w:sz="6" w:space="0" w:color="auto"/>
              <w:left w:val="single" w:sz="6" w:space="0" w:color="auto"/>
              <w:bottom w:val="single" w:sz="6" w:space="0" w:color="auto"/>
              <w:right w:val="single" w:sz="6" w:space="0" w:color="auto"/>
            </w:tcBorders>
            <w:vAlign w:val="center"/>
          </w:tcPr>
          <w:p w14:paraId="3AB02895" w14:textId="6701E7CF" w:rsidR="00314D16" w:rsidRPr="00F745DE" w:rsidRDefault="00314D16" w:rsidP="00314D16">
            <w:pPr>
              <w:jc w:val="center"/>
              <w:rPr>
                <w:rFonts w:cs="Arial"/>
                <w:sz w:val="18"/>
              </w:rPr>
            </w:pPr>
          </w:p>
        </w:tc>
      </w:tr>
    </w:tbl>
    <w:p w14:paraId="4DD73E0F" w14:textId="77777777" w:rsidR="00E5576F" w:rsidRPr="00F745DE" w:rsidRDefault="0040088C">
      <w:pPr>
        <w:rPr>
          <w:rFonts w:cs="Arial"/>
          <w:b/>
          <w:i/>
          <w:iCs/>
          <w:sz w:val="16"/>
          <w:szCs w:val="16"/>
        </w:rPr>
      </w:pPr>
      <w:r w:rsidRPr="00F745DE">
        <w:rPr>
          <w:rFonts w:cs="Arial"/>
          <w:b/>
          <w:i/>
          <w:iCs/>
          <w:sz w:val="16"/>
          <w:szCs w:val="16"/>
        </w:rPr>
        <w:t>*Applicants going through the portfolio registration routes (GMC or UKPHR) are not eligible to be shortlisted for interview until they are included on the register. The six-month rule does not apply to these portfolio route applicants.</w:t>
      </w:r>
    </w:p>
    <w:p w14:paraId="04D1025A" w14:textId="0A1B2140" w:rsidR="00127916" w:rsidRPr="00F745DE" w:rsidRDefault="00127916">
      <w:pPr>
        <w:rPr>
          <w:rFonts w:cs="Arial"/>
          <w:b/>
          <w:sz w:val="20"/>
          <w:szCs w:val="20"/>
        </w:rPr>
      </w:pPr>
      <w:r w:rsidRPr="00F745DE">
        <w:rPr>
          <w:rFonts w:cs="Arial"/>
          <w:b/>
          <w:sz w:val="20"/>
          <w:szCs w:val="20"/>
        </w:rPr>
        <w:br w:type="page"/>
      </w:r>
    </w:p>
    <w:p w14:paraId="61E884FB" w14:textId="26EA47CB" w:rsidR="005B0822" w:rsidRPr="00F745DE" w:rsidRDefault="005B0822" w:rsidP="001C62B9">
      <w:pPr>
        <w:widowControl w:val="0"/>
        <w:spacing w:before="240"/>
        <w:jc w:val="center"/>
        <w:rPr>
          <w:rFonts w:cs="Arial"/>
          <w:b/>
          <w:bCs/>
          <w:color w:val="1F4E79" w:themeColor="accent1" w:themeShade="80"/>
          <w:sz w:val="28"/>
          <w:szCs w:val="28"/>
        </w:rPr>
      </w:pPr>
      <w:r w:rsidRPr="00F745DE">
        <w:rPr>
          <w:rFonts w:cs="Arial"/>
          <w:b/>
          <w:bCs/>
          <w:color w:val="1F4E79" w:themeColor="accent1" w:themeShade="80"/>
          <w:sz w:val="28"/>
          <w:szCs w:val="28"/>
        </w:rPr>
        <w:lastRenderedPageBreak/>
        <w:t>Shortlisting notes</w:t>
      </w:r>
    </w:p>
    <w:p w14:paraId="042C9304" w14:textId="77777777" w:rsidR="005B0822" w:rsidRPr="00F745DE" w:rsidRDefault="005B0822" w:rsidP="00E5576F">
      <w:pPr>
        <w:widowControl w:val="0"/>
        <w:spacing w:before="240"/>
        <w:rPr>
          <w:rFonts w:cs="Arial"/>
          <w:b/>
          <w:bCs/>
          <w:color w:val="1F4E79" w:themeColor="accent1" w:themeShade="80"/>
          <w:sz w:val="28"/>
          <w:szCs w:val="28"/>
        </w:rPr>
      </w:pPr>
      <w:r w:rsidRPr="00F745DE">
        <w:rPr>
          <w:rFonts w:cs="Arial"/>
          <w:b/>
          <w:bCs/>
          <w:color w:val="1F4E79" w:themeColor="accent1" w:themeShade="80"/>
          <w:sz w:val="28"/>
          <w:szCs w:val="28"/>
        </w:rPr>
        <w:t>Applicants in training grades</w:t>
      </w:r>
    </w:p>
    <w:p w14:paraId="3D10AF22" w14:textId="77777777" w:rsidR="005B0822" w:rsidRPr="00F745DE" w:rsidRDefault="005B0822" w:rsidP="00F25E7C">
      <w:pPr>
        <w:rPr>
          <w:rFonts w:cs="Arial"/>
          <w:b/>
          <w:bCs/>
          <w:i/>
        </w:rPr>
      </w:pPr>
      <w:r w:rsidRPr="00F745DE">
        <w:rPr>
          <w:rFonts w:cs="Arial"/>
          <w:b/>
          <w:bCs/>
          <w:i/>
        </w:rPr>
        <w:t>Medical and dental applicants</w:t>
      </w:r>
    </w:p>
    <w:p w14:paraId="441B8B69" w14:textId="7504C4B3" w:rsidR="005B0822" w:rsidRPr="00F745DE" w:rsidRDefault="00F23BD1" w:rsidP="001C62B9">
      <w:pPr>
        <w:spacing w:before="120" w:after="240"/>
        <w:rPr>
          <w:rFonts w:cs="Arial"/>
        </w:rPr>
      </w:pPr>
      <w:r w:rsidRPr="00F745DE">
        <w:rPr>
          <w:rFonts w:cs="Arial"/>
          <w:i/>
          <w:lang w:val="en-GB"/>
        </w:rPr>
        <w:t>All</w:t>
      </w:r>
      <w:r w:rsidRPr="00F745DE">
        <w:rPr>
          <w:rFonts w:cs="Arial"/>
        </w:rPr>
        <w:t xml:space="preserve"> medical/dental applicants must have Full and Specialist registration (with a license to practice) with the General Medical Council or General Dental Council (GMC/GDC) </w:t>
      </w:r>
      <w:r w:rsidRPr="00F745DE">
        <w:rPr>
          <w:rFonts w:cs="Arial"/>
          <w:b/>
        </w:rPr>
        <w:t xml:space="preserve">or be eligible for registration within six months of interview. </w:t>
      </w:r>
      <w:r w:rsidRPr="00F745DE">
        <w:rPr>
          <w:rFonts w:cs="Arial"/>
        </w:rPr>
        <w:t>Once a candidate is a holder of the Certificate of Completion of Training (CCT), registration with the relevant register is guaranteed.</w:t>
      </w:r>
    </w:p>
    <w:p w14:paraId="6FC00FBC" w14:textId="77777777" w:rsidR="005B0822" w:rsidRPr="00F745DE" w:rsidRDefault="005B0822" w:rsidP="001C62B9">
      <w:pPr>
        <w:spacing w:before="120" w:after="240"/>
        <w:rPr>
          <w:rFonts w:cs="Arial"/>
        </w:rPr>
      </w:pPr>
      <w:r w:rsidRPr="00F745DE">
        <w:rPr>
          <w:rFonts w:cs="Arial"/>
        </w:rPr>
        <w:t xml:space="preserve">Applicants that are UK trained, must ALSO be a holder of a Certificate of Completion of Training (CCT), </w:t>
      </w:r>
      <w:r w:rsidRPr="00F745DE">
        <w:rPr>
          <w:rFonts w:cs="Arial"/>
          <w:b/>
        </w:rPr>
        <w:t>or be within six months of award of CCT</w:t>
      </w:r>
      <w:r w:rsidRPr="00F745DE">
        <w:rPr>
          <w:rFonts w:cs="Arial"/>
        </w:rPr>
        <w:t xml:space="preserve"> by date of interview demonstrated by a letter from the Training Programme</w:t>
      </w:r>
      <w:r w:rsidR="004643EF" w:rsidRPr="00F745DE">
        <w:rPr>
          <w:rFonts w:cs="Arial"/>
        </w:rPr>
        <w:t xml:space="preserve"> Director (TPD)</w:t>
      </w:r>
      <w:r w:rsidRPr="00F745DE">
        <w:rPr>
          <w:rFonts w:cs="Arial"/>
        </w:rPr>
        <w:t xml:space="preserve">. </w:t>
      </w:r>
    </w:p>
    <w:p w14:paraId="3628A246" w14:textId="77777777" w:rsidR="005B0822" w:rsidRPr="00F745DE" w:rsidRDefault="005B0822" w:rsidP="00F25E7C">
      <w:pPr>
        <w:rPr>
          <w:rFonts w:cs="Arial"/>
          <w:b/>
          <w:bCs/>
          <w:i/>
        </w:rPr>
      </w:pPr>
      <w:r w:rsidRPr="00F745DE">
        <w:rPr>
          <w:rFonts w:cs="Arial"/>
          <w:b/>
          <w:bCs/>
          <w:i/>
        </w:rPr>
        <w:t>Non-Medical Applicants in training programme</w:t>
      </w:r>
    </w:p>
    <w:p w14:paraId="4FE61E63" w14:textId="77777777" w:rsidR="005B0822" w:rsidRPr="00F745DE" w:rsidRDefault="005B0822" w:rsidP="001C62B9">
      <w:pPr>
        <w:spacing w:before="120" w:after="240"/>
        <w:rPr>
          <w:rFonts w:cs="Arial"/>
        </w:rPr>
      </w:pPr>
      <w:r w:rsidRPr="00F745DE">
        <w:rPr>
          <w:rFonts w:cs="Arial"/>
        </w:rPr>
        <w:t xml:space="preserve">All nonmedical applicants must be registered with the UKPHR or be </w:t>
      </w:r>
      <w:r w:rsidR="00FB7706" w:rsidRPr="00F745DE">
        <w:rPr>
          <w:rFonts w:cs="Arial"/>
        </w:rPr>
        <w:t xml:space="preserve">within six months of </w:t>
      </w:r>
      <w:r w:rsidRPr="00F745DE">
        <w:rPr>
          <w:rFonts w:cs="Arial"/>
        </w:rPr>
        <w:t>regist</w:t>
      </w:r>
      <w:r w:rsidR="00FB7706" w:rsidRPr="00F745DE">
        <w:rPr>
          <w:rFonts w:cs="Arial"/>
        </w:rPr>
        <w:t xml:space="preserve">ration at the date of the </w:t>
      </w:r>
      <w:r w:rsidR="00872BB7" w:rsidRPr="00F745DE">
        <w:rPr>
          <w:rFonts w:cs="Arial"/>
        </w:rPr>
        <w:t>i</w:t>
      </w:r>
      <w:r w:rsidRPr="00F745DE">
        <w:rPr>
          <w:rFonts w:cs="Arial"/>
        </w:rPr>
        <w:t>nterview. Applicants must provide proof (</w:t>
      </w:r>
      <w:r w:rsidR="00FB7706" w:rsidRPr="00F745DE">
        <w:rPr>
          <w:rFonts w:cs="Arial"/>
        </w:rPr>
        <w:t xml:space="preserve">letter of </w:t>
      </w:r>
      <w:r w:rsidRPr="00F745DE">
        <w:rPr>
          <w:rFonts w:cs="Arial"/>
        </w:rPr>
        <w:t>confirmation from UKPHR or the CCT) at interview.</w:t>
      </w:r>
    </w:p>
    <w:p w14:paraId="4A289654" w14:textId="77777777" w:rsidR="005B0822" w:rsidRPr="00F745DE" w:rsidRDefault="005B0822" w:rsidP="00E5576F">
      <w:pPr>
        <w:widowControl w:val="0"/>
        <w:spacing w:before="240"/>
        <w:rPr>
          <w:rFonts w:cs="Arial"/>
          <w:b/>
          <w:bCs/>
          <w:color w:val="1F4E79" w:themeColor="accent1" w:themeShade="80"/>
          <w:sz w:val="28"/>
          <w:szCs w:val="28"/>
        </w:rPr>
      </w:pPr>
      <w:r w:rsidRPr="00F745DE">
        <w:rPr>
          <w:rFonts w:cs="Arial"/>
          <w:b/>
          <w:bCs/>
          <w:color w:val="1F4E79" w:themeColor="accent1" w:themeShade="80"/>
          <w:sz w:val="28"/>
          <w:szCs w:val="28"/>
        </w:rPr>
        <w:t>Applicants in non-training grades</w:t>
      </w:r>
    </w:p>
    <w:p w14:paraId="121BF09B" w14:textId="77777777" w:rsidR="005B0822" w:rsidRPr="00F745DE" w:rsidRDefault="005B0822" w:rsidP="002A379D">
      <w:pPr>
        <w:spacing w:after="120"/>
        <w:rPr>
          <w:rFonts w:cs="Arial"/>
        </w:rPr>
      </w:pPr>
      <w:r w:rsidRPr="00F745DE">
        <w:rPr>
          <w:rFonts w:cs="Arial"/>
        </w:rPr>
        <w:t>Applicants that are non-UK trained, will be required to show evidence of equivalence to the UK CCT.</w:t>
      </w:r>
    </w:p>
    <w:p w14:paraId="54EA26DA" w14:textId="77777777" w:rsidR="005B0822" w:rsidRPr="00F745DE" w:rsidRDefault="005B0822" w:rsidP="001C62B9">
      <w:pPr>
        <w:spacing w:before="120" w:after="240"/>
        <w:rPr>
          <w:rFonts w:cs="Arial"/>
        </w:rPr>
      </w:pPr>
      <w:r w:rsidRPr="00F745DE">
        <w:rPr>
          <w:rFonts w:cs="Arial"/>
        </w:rPr>
        <w:t>Applicants from a medical background w</w:t>
      </w:r>
      <w:r w:rsidR="004643EF" w:rsidRPr="00F745DE">
        <w:rPr>
          <w:rFonts w:cs="Arial"/>
        </w:rPr>
        <w:t xml:space="preserve">ill be </w:t>
      </w:r>
      <w:r w:rsidRPr="00F745DE">
        <w:rPr>
          <w:rFonts w:cs="Arial"/>
        </w:rPr>
        <w:t>expected to have gained full specialist registration with the GMC through the Certificate of Eligibility for Specialist Registration (CESR) route.</w:t>
      </w:r>
    </w:p>
    <w:p w14:paraId="7763AD03" w14:textId="095EA9B3" w:rsidR="00191282" w:rsidRPr="00F745DE" w:rsidRDefault="005B0822" w:rsidP="001C62B9">
      <w:pPr>
        <w:spacing w:before="120" w:after="240"/>
        <w:rPr>
          <w:rFonts w:cs="Arial"/>
          <w:bCs/>
        </w:rPr>
      </w:pPr>
      <w:r w:rsidRPr="00F745DE">
        <w:rPr>
          <w:rFonts w:cs="Arial"/>
        </w:rPr>
        <w:t>Applicants from a background other than medicine would normally be expected to have gained full specialist registration with the UKPHR.</w:t>
      </w:r>
    </w:p>
    <w:p w14:paraId="189521E4" w14:textId="77777777" w:rsidR="00283962" w:rsidRDefault="00283962" w:rsidP="00283962">
      <w:pPr>
        <w:rPr>
          <w:b/>
          <w:bCs/>
        </w:rPr>
      </w:pPr>
      <w:r w:rsidRPr="007F1023">
        <w:rPr>
          <w:b/>
          <w:bCs/>
        </w:rPr>
        <w:t xml:space="preserve">Employers are advised that individuals should not take up consultant in public health posts (including DPH posts) until they have gained entry on to the appropriate register that is GMC or GDC or UKPHR Public Health Specialist Register. However, the employer should require evidence that they have joined the register before allowing an individual to take up a consultant post. </w:t>
      </w:r>
    </w:p>
    <w:p w14:paraId="6DC1C10F" w14:textId="77777777" w:rsidR="005B0822" w:rsidRPr="001C62B9" w:rsidRDefault="005B0822" w:rsidP="001C62B9">
      <w:pPr>
        <w:spacing w:before="120" w:after="240"/>
        <w:rPr>
          <w:rFonts w:cs="Arial"/>
          <w:b/>
        </w:rPr>
      </w:pPr>
      <w:r w:rsidRPr="00F745DE">
        <w:rPr>
          <w:rFonts w:cs="Arial"/>
          <w:b/>
          <w:iCs/>
        </w:rPr>
        <w:t>The above guidance applies to applications for both general and defined specialist registration with the UKPHR.</w:t>
      </w:r>
      <w:r w:rsidR="002A379D" w:rsidRPr="00F745DE">
        <w:rPr>
          <w:rFonts w:cs="Arial"/>
          <w:b/>
          <w:iCs/>
        </w:rPr>
        <w:t xml:space="preserve"> </w:t>
      </w:r>
      <w:r w:rsidRPr="00F745DE">
        <w:rPr>
          <w:rFonts w:cs="Arial"/>
          <w:b/>
          <w:iCs/>
        </w:rPr>
        <w:t>Individuals with defined specialist registration are eligible for consideration for shortlisting for, and appointment to, consultant posts including those at DPH level.</w:t>
      </w:r>
      <w:r w:rsidR="002A379D" w:rsidRPr="00F745DE">
        <w:rPr>
          <w:rFonts w:cs="Arial"/>
          <w:b/>
          <w:iCs/>
        </w:rPr>
        <w:t xml:space="preserve"> </w:t>
      </w:r>
      <w:r w:rsidRPr="00F745DE">
        <w:rPr>
          <w:rFonts w:cs="Arial"/>
          <w:b/>
          <w:iCs/>
        </w:rPr>
        <w:t>In all appointments, employers will wish to ensure that an applicant’s areas of competence meet those required in the person specification.</w:t>
      </w:r>
    </w:p>
    <w:sectPr w:rsidR="005B0822" w:rsidRPr="001C62B9" w:rsidSect="006223E2">
      <w:headerReference w:type="default" r:id="rId9"/>
      <w:footerReference w:type="even" r:id="rId10"/>
      <w:footnotePr>
        <w:numRestart w:val="eachPage"/>
      </w:footnotePr>
      <w:pgSz w:w="11906" w:h="16838" w:code="9"/>
      <w:pgMar w:top="1134" w:right="1134" w:bottom="1418" w:left="1134" w:header="426" w:footer="284"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7BD96" w14:textId="77777777" w:rsidR="00784FCB" w:rsidRDefault="00784FCB">
      <w:r>
        <w:separator/>
      </w:r>
    </w:p>
  </w:endnote>
  <w:endnote w:type="continuationSeparator" w:id="0">
    <w:p w14:paraId="75213F91" w14:textId="77777777" w:rsidR="00784FCB" w:rsidRDefault="0078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B5D7F" w14:textId="77777777" w:rsidR="00C066FF" w:rsidRPr="007F5321" w:rsidRDefault="00C066FF" w:rsidP="00017F8C">
    <w:pPr>
      <w:pStyle w:val="Footer"/>
      <w:framePr w:wrap="around" w:vAnchor="text" w:hAnchor="margin" w:xAlign="center" w:y="1"/>
      <w:rPr>
        <w:rStyle w:val="PageNumber"/>
        <w:rFonts w:ascii="Arial" w:hAnsi="Arial" w:cs="Arial"/>
        <w:sz w:val="22"/>
        <w:szCs w:val="22"/>
      </w:rPr>
    </w:pPr>
    <w:r w:rsidRPr="007F5321">
      <w:rPr>
        <w:rStyle w:val="PageNumber"/>
        <w:rFonts w:ascii="Arial" w:hAnsi="Arial" w:cs="Arial"/>
        <w:sz w:val="22"/>
        <w:szCs w:val="22"/>
      </w:rPr>
      <w:fldChar w:fldCharType="begin"/>
    </w:r>
    <w:r w:rsidRPr="007F5321">
      <w:rPr>
        <w:rStyle w:val="PageNumber"/>
        <w:rFonts w:ascii="Arial" w:hAnsi="Arial" w:cs="Arial"/>
        <w:sz w:val="22"/>
        <w:szCs w:val="22"/>
      </w:rPr>
      <w:instrText xml:space="preserve">PAGE  </w:instrText>
    </w:r>
    <w:r w:rsidRPr="007F5321">
      <w:rPr>
        <w:rStyle w:val="PageNumber"/>
        <w:rFonts w:ascii="Arial" w:hAnsi="Arial" w:cs="Arial"/>
        <w:sz w:val="22"/>
        <w:szCs w:val="22"/>
      </w:rPr>
      <w:fldChar w:fldCharType="separate"/>
    </w:r>
    <w:r>
      <w:rPr>
        <w:rStyle w:val="PageNumber"/>
        <w:rFonts w:ascii="Arial" w:hAnsi="Arial" w:cs="Arial"/>
        <w:noProof/>
        <w:sz w:val="22"/>
        <w:szCs w:val="22"/>
      </w:rPr>
      <w:t>12</w:t>
    </w:r>
    <w:r w:rsidRPr="007F5321">
      <w:rPr>
        <w:rStyle w:val="PageNumber"/>
        <w:rFonts w:ascii="Arial" w:hAnsi="Arial" w:cs="Arial"/>
        <w:sz w:val="22"/>
        <w:szCs w:val="22"/>
      </w:rPr>
      <w:fldChar w:fldCharType="end"/>
    </w:r>
  </w:p>
  <w:p w14:paraId="427EA61B" w14:textId="77777777" w:rsidR="00C066FF" w:rsidRPr="005E23D8" w:rsidRDefault="00C066FF" w:rsidP="005E23D8">
    <w:pPr>
      <w:pStyle w:val="Footer"/>
      <w:jc w:val="right"/>
      <w:rPr>
        <w:rFonts w:ascii="Arial" w:hAnsi="Arial" w:cs="Arial"/>
        <w:sz w:val="20"/>
        <w:szCs w:val="20"/>
      </w:rPr>
    </w:pPr>
    <w:r>
      <w:rPr>
        <w:rFonts w:ascii="Arial" w:hAnsi="Arial" w:cs="Arial"/>
        <w:sz w:val="20"/>
        <w:szCs w:val="20"/>
      </w:rPr>
      <w:t>Specimen CPH JD –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DE91F" w14:textId="77777777" w:rsidR="00784FCB" w:rsidRDefault="00784FCB">
      <w:r>
        <w:separator/>
      </w:r>
    </w:p>
  </w:footnote>
  <w:footnote w:type="continuationSeparator" w:id="0">
    <w:p w14:paraId="639031F9" w14:textId="77777777" w:rsidR="00784FCB" w:rsidRDefault="0078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3DC9" w14:textId="7B8836DE" w:rsidR="0049457F" w:rsidRPr="00B507E4" w:rsidRDefault="0049457F" w:rsidP="0049457F">
    <w:pPr>
      <w:pStyle w:val="Header"/>
      <w:jc w:val="center"/>
      <w:rPr>
        <w:rFonts w:ascii="Arial" w:hAnsi="Arial" w:cs="Arial"/>
        <w:sz w:val="20"/>
        <w:szCs w:val="20"/>
      </w:rPr>
    </w:pPr>
    <w:r w:rsidRPr="00B9355A">
      <w:rPr>
        <w:rFonts w:ascii="Arial" w:hAnsi="Arial" w:cs="Arial"/>
        <w:sz w:val="20"/>
        <w:szCs w:val="20"/>
      </w:rPr>
      <w:t xml:space="preserve">FPH </w:t>
    </w:r>
    <w:r>
      <w:rPr>
        <w:rFonts w:ascii="Arial" w:hAnsi="Arial" w:cs="Arial"/>
        <w:sz w:val="20"/>
        <w:szCs w:val="20"/>
      </w:rPr>
      <w:t xml:space="preserve">sample JD </w:t>
    </w:r>
    <w:r w:rsidRPr="00B9355A">
      <w:rPr>
        <w:rFonts w:ascii="Arial" w:hAnsi="Arial" w:cs="Arial"/>
        <w:sz w:val="20"/>
        <w:szCs w:val="20"/>
      </w:rPr>
      <w:t xml:space="preserve">– </w:t>
    </w:r>
    <w:r w:rsidRPr="0049457F">
      <w:rPr>
        <w:rFonts w:ascii="Arial" w:hAnsi="Arial" w:cs="Arial"/>
        <w:sz w:val="20"/>
        <w:szCs w:val="20"/>
      </w:rPr>
      <w:t xml:space="preserve">Senior Lecturer / Reader / Associate Professor &amp; Honorary Consultant </w:t>
    </w:r>
    <w:r>
      <w:rPr>
        <w:rFonts w:ascii="Arial" w:hAnsi="Arial" w:cs="Arial"/>
        <w:sz w:val="20"/>
        <w:szCs w:val="20"/>
      </w:rPr>
      <w:t>(</w:t>
    </w:r>
    <w:r w:rsidR="001C62B9">
      <w:rPr>
        <w:rFonts w:ascii="Arial" w:hAnsi="Arial" w:cs="Arial"/>
        <w:sz w:val="20"/>
        <w:szCs w:val="20"/>
      </w:rPr>
      <w:t>April 2024</w:t>
    </w:r>
    <w:r w:rsidRPr="00B9355A">
      <w:rPr>
        <w:rFonts w:ascii="Arial" w:hAnsi="Arial" w:cs="Arial"/>
        <w:sz w:val="20"/>
        <w:szCs w:val="20"/>
      </w:rPr>
      <w:t>)</w:t>
    </w:r>
  </w:p>
  <w:p w14:paraId="7994529C" w14:textId="77777777" w:rsidR="0049457F" w:rsidRDefault="00494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880"/>
    <w:multiLevelType w:val="hybridMultilevel"/>
    <w:tmpl w:val="3E7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F7995"/>
    <w:multiLevelType w:val="multilevel"/>
    <w:tmpl w:val="58CC098A"/>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46547E6"/>
    <w:multiLevelType w:val="multilevel"/>
    <w:tmpl w:val="1318D2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F37FB3"/>
    <w:multiLevelType w:val="hybridMultilevel"/>
    <w:tmpl w:val="A0FAF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D73BC0"/>
    <w:multiLevelType w:val="multilevel"/>
    <w:tmpl w:val="EF2AA81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771B40"/>
    <w:multiLevelType w:val="hybridMultilevel"/>
    <w:tmpl w:val="481CA6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855F8"/>
    <w:multiLevelType w:val="hybridMultilevel"/>
    <w:tmpl w:val="9D08C8CC"/>
    <w:lvl w:ilvl="0" w:tplc="AAC60A54">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36E5C"/>
    <w:multiLevelType w:val="multilevel"/>
    <w:tmpl w:val="21728EA0"/>
    <w:lvl w:ilvl="0">
      <w:start w:val="4"/>
      <w:numFmt w:val="decimal"/>
      <w:lvlText w:val="%1"/>
      <w:lvlJc w:val="left"/>
      <w:pPr>
        <w:tabs>
          <w:tab w:val="num" w:pos="360"/>
        </w:tabs>
        <w:ind w:left="360" w:hanging="360"/>
      </w:pPr>
      <w:rPr>
        <w:rFonts w:hint="default"/>
        <w:i w:val="0"/>
      </w:rPr>
    </w:lvl>
    <w:lvl w:ilvl="1">
      <w:start w:val="1"/>
      <w:numFmt w:val="decimal"/>
      <w:lvlText w:val="%2."/>
      <w:lvlJc w:val="left"/>
      <w:pPr>
        <w:tabs>
          <w:tab w:val="num" w:pos="928"/>
        </w:tabs>
        <w:ind w:left="928" w:hanging="360"/>
      </w:pPr>
      <w:rPr>
        <w:rFonts w:hint="default"/>
        <w:i w:val="0"/>
      </w:rPr>
    </w:lvl>
    <w:lvl w:ilvl="2">
      <w:start w:val="1"/>
      <w:numFmt w:val="decimal"/>
      <w:lvlText w:val="%1.%2.%3"/>
      <w:lvlJc w:val="left"/>
      <w:pPr>
        <w:tabs>
          <w:tab w:val="num" w:pos="2138"/>
        </w:tabs>
        <w:ind w:left="2138" w:hanging="720"/>
      </w:pPr>
      <w:rPr>
        <w:rFonts w:hint="default"/>
        <w:i w:val="0"/>
      </w:rPr>
    </w:lvl>
    <w:lvl w:ilvl="3">
      <w:start w:val="1"/>
      <w:numFmt w:val="decimal"/>
      <w:lvlText w:val="%1.%2.%3.%4"/>
      <w:lvlJc w:val="left"/>
      <w:pPr>
        <w:tabs>
          <w:tab w:val="num" w:pos="3207"/>
        </w:tabs>
        <w:ind w:left="3207" w:hanging="1080"/>
      </w:pPr>
      <w:rPr>
        <w:rFonts w:hint="default"/>
        <w:i w:val="0"/>
      </w:rPr>
    </w:lvl>
    <w:lvl w:ilvl="4">
      <w:start w:val="1"/>
      <w:numFmt w:val="decimal"/>
      <w:lvlText w:val="%1.%2.%3.%4.%5"/>
      <w:lvlJc w:val="left"/>
      <w:pPr>
        <w:tabs>
          <w:tab w:val="num" w:pos="3916"/>
        </w:tabs>
        <w:ind w:left="3916" w:hanging="1080"/>
      </w:pPr>
      <w:rPr>
        <w:rFonts w:hint="default"/>
        <w:i w:val="0"/>
      </w:rPr>
    </w:lvl>
    <w:lvl w:ilvl="5">
      <w:start w:val="1"/>
      <w:numFmt w:val="decimal"/>
      <w:lvlText w:val="%1.%2.%3.%4.%5.%6"/>
      <w:lvlJc w:val="left"/>
      <w:pPr>
        <w:tabs>
          <w:tab w:val="num" w:pos="4985"/>
        </w:tabs>
        <w:ind w:left="4985" w:hanging="1440"/>
      </w:pPr>
      <w:rPr>
        <w:rFonts w:hint="default"/>
        <w:i w:val="0"/>
      </w:rPr>
    </w:lvl>
    <w:lvl w:ilvl="6">
      <w:start w:val="1"/>
      <w:numFmt w:val="decimal"/>
      <w:lvlText w:val="%1.%2.%3.%4.%5.%6.%7"/>
      <w:lvlJc w:val="left"/>
      <w:pPr>
        <w:tabs>
          <w:tab w:val="num" w:pos="5694"/>
        </w:tabs>
        <w:ind w:left="5694" w:hanging="1440"/>
      </w:pPr>
      <w:rPr>
        <w:rFonts w:hint="default"/>
        <w:i w:val="0"/>
      </w:rPr>
    </w:lvl>
    <w:lvl w:ilvl="7">
      <w:start w:val="1"/>
      <w:numFmt w:val="decimal"/>
      <w:lvlText w:val="%1.%2.%3.%4.%5.%6.%7.%8"/>
      <w:lvlJc w:val="left"/>
      <w:pPr>
        <w:tabs>
          <w:tab w:val="num" w:pos="6763"/>
        </w:tabs>
        <w:ind w:left="6763" w:hanging="1800"/>
      </w:pPr>
      <w:rPr>
        <w:rFonts w:hint="default"/>
        <w:i w:val="0"/>
      </w:rPr>
    </w:lvl>
    <w:lvl w:ilvl="8">
      <w:start w:val="1"/>
      <w:numFmt w:val="decimal"/>
      <w:lvlText w:val="%1.%2.%3.%4.%5.%6.%7.%8.%9"/>
      <w:lvlJc w:val="left"/>
      <w:pPr>
        <w:tabs>
          <w:tab w:val="num" w:pos="7472"/>
        </w:tabs>
        <w:ind w:left="7472" w:hanging="1800"/>
      </w:pPr>
      <w:rPr>
        <w:rFonts w:hint="default"/>
        <w:i w:val="0"/>
      </w:rPr>
    </w:lvl>
  </w:abstractNum>
  <w:abstractNum w:abstractNumId="8" w15:restartNumberingAfterBreak="0">
    <w:nsid w:val="14BB77A4"/>
    <w:multiLevelType w:val="hybridMultilevel"/>
    <w:tmpl w:val="1E5C07A4"/>
    <w:lvl w:ilvl="0" w:tplc="08090017">
      <w:start w:val="1"/>
      <w:numFmt w:val="lowerLetter"/>
      <w:lvlText w:val="%1)"/>
      <w:lvlJc w:val="left"/>
      <w:pPr>
        <w:ind w:left="1755" w:hanging="360"/>
      </w:p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9" w15:restartNumberingAfterBreak="0">
    <w:nsid w:val="18B17CD3"/>
    <w:multiLevelType w:val="hybridMultilevel"/>
    <w:tmpl w:val="434C1B50"/>
    <w:lvl w:ilvl="0" w:tplc="EFE60662">
      <w:start w:val="1"/>
      <w:numFmt w:val="decimal"/>
      <w:lvlText w:val="%1."/>
      <w:lvlJc w:val="left"/>
      <w:pPr>
        <w:ind w:left="360" w:hanging="360"/>
      </w:pPr>
      <w:rPr>
        <w:rFonts w:eastAsia="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D56B54"/>
    <w:multiLevelType w:val="hybridMultilevel"/>
    <w:tmpl w:val="B7FCCCEA"/>
    <w:lvl w:ilvl="0" w:tplc="63C03B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9360B8"/>
    <w:multiLevelType w:val="hybridMultilevel"/>
    <w:tmpl w:val="7B90A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902D38"/>
    <w:multiLevelType w:val="multilevel"/>
    <w:tmpl w:val="DF1E1FE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EA362C"/>
    <w:multiLevelType w:val="hybridMultilevel"/>
    <w:tmpl w:val="E968D73A"/>
    <w:lvl w:ilvl="0" w:tplc="EDEAEE76">
      <w:start w:val="1"/>
      <w:numFmt w:val="bullet"/>
      <w:lvlText w:val=""/>
      <w:lvlJc w:val="left"/>
      <w:pPr>
        <w:ind w:left="720" w:hanging="360"/>
      </w:pPr>
      <w:rPr>
        <w:rFonts w:ascii="Symbol" w:hAnsi="Symbol" w:hint="default"/>
        <w:color w:val="1F4E79" w:themeColor="accent1" w:themeShade="8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17C7C"/>
    <w:multiLevelType w:val="hybridMultilevel"/>
    <w:tmpl w:val="FBE29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F30F79"/>
    <w:multiLevelType w:val="hybridMultilevel"/>
    <w:tmpl w:val="8AA0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008AC"/>
    <w:multiLevelType w:val="multilevel"/>
    <w:tmpl w:val="EFAC43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32FE6E2C"/>
    <w:multiLevelType w:val="multilevel"/>
    <w:tmpl w:val="3B8AA69E"/>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9" w15:restartNumberingAfterBreak="0">
    <w:nsid w:val="338E792B"/>
    <w:multiLevelType w:val="hybridMultilevel"/>
    <w:tmpl w:val="8B54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5A5C4F"/>
    <w:multiLevelType w:val="hybridMultilevel"/>
    <w:tmpl w:val="FBE29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760F3F"/>
    <w:multiLevelType w:val="hybridMultilevel"/>
    <w:tmpl w:val="3FB80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8556D9"/>
    <w:multiLevelType w:val="hybridMultilevel"/>
    <w:tmpl w:val="DB46A43E"/>
    <w:lvl w:ilvl="0" w:tplc="EA568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A6C3B"/>
    <w:multiLevelType w:val="hybridMultilevel"/>
    <w:tmpl w:val="6BAC12C2"/>
    <w:lvl w:ilvl="0" w:tplc="84E6D2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5613702"/>
    <w:multiLevelType w:val="multilevel"/>
    <w:tmpl w:val="04B624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A91D30"/>
    <w:multiLevelType w:val="multilevel"/>
    <w:tmpl w:val="CE8691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A106E64"/>
    <w:multiLevelType w:val="multilevel"/>
    <w:tmpl w:val="3B8AA6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5C77A4"/>
    <w:multiLevelType w:val="multilevel"/>
    <w:tmpl w:val="3B8AA6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F731255"/>
    <w:multiLevelType w:val="hybridMultilevel"/>
    <w:tmpl w:val="ED96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885407"/>
    <w:multiLevelType w:val="multilevel"/>
    <w:tmpl w:val="AE14BA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CF54EB9"/>
    <w:multiLevelType w:val="hybridMultilevel"/>
    <w:tmpl w:val="81703EBC"/>
    <w:lvl w:ilvl="0" w:tplc="12BE8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1F14A8"/>
    <w:multiLevelType w:val="hybridMultilevel"/>
    <w:tmpl w:val="3E06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341E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97382B"/>
    <w:multiLevelType w:val="hybridMultilevel"/>
    <w:tmpl w:val="D778A08E"/>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1321AC"/>
    <w:multiLevelType w:val="hybridMultilevel"/>
    <w:tmpl w:val="12C2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7173F"/>
    <w:multiLevelType w:val="hybridMultilevel"/>
    <w:tmpl w:val="026087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C51834"/>
    <w:multiLevelType w:val="hybridMultilevel"/>
    <w:tmpl w:val="7BF2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407C14"/>
    <w:multiLevelType w:val="hybridMultilevel"/>
    <w:tmpl w:val="E2AE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561281">
    <w:abstractNumId w:val="31"/>
  </w:num>
  <w:num w:numId="2" w16cid:durableId="299502980">
    <w:abstractNumId w:val="35"/>
  </w:num>
  <w:num w:numId="3" w16cid:durableId="826823241">
    <w:abstractNumId w:val="20"/>
  </w:num>
  <w:num w:numId="4" w16cid:durableId="1755013749">
    <w:abstractNumId w:val="17"/>
  </w:num>
  <w:num w:numId="5" w16cid:durableId="755829943">
    <w:abstractNumId w:val="7"/>
  </w:num>
  <w:num w:numId="6" w16cid:durableId="1782647194">
    <w:abstractNumId w:val="26"/>
  </w:num>
  <w:num w:numId="7" w16cid:durableId="201782">
    <w:abstractNumId w:val="12"/>
  </w:num>
  <w:num w:numId="8" w16cid:durableId="2126926308">
    <w:abstractNumId w:val="22"/>
  </w:num>
  <w:num w:numId="9" w16cid:durableId="993071080">
    <w:abstractNumId w:val="3"/>
  </w:num>
  <w:num w:numId="10" w16cid:durableId="859709117">
    <w:abstractNumId w:val="37"/>
  </w:num>
  <w:num w:numId="11" w16cid:durableId="283006342">
    <w:abstractNumId w:val="11"/>
  </w:num>
  <w:num w:numId="12" w16cid:durableId="1623346902">
    <w:abstractNumId w:val="24"/>
  </w:num>
  <w:num w:numId="13" w16cid:durableId="1277980333">
    <w:abstractNumId w:val="19"/>
  </w:num>
  <w:num w:numId="14" w16cid:durableId="1941252861">
    <w:abstractNumId w:val="33"/>
  </w:num>
  <w:num w:numId="15" w16cid:durableId="1881824171">
    <w:abstractNumId w:val="30"/>
  </w:num>
  <w:num w:numId="16" w16cid:durableId="454980766">
    <w:abstractNumId w:val="16"/>
  </w:num>
  <w:num w:numId="17" w16cid:durableId="2033340078">
    <w:abstractNumId w:val="36"/>
  </w:num>
  <w:num w:numId="18" w16cid:durableId="2144153623">
    <w:abstractNumId w:val="38"/>
  </w:num>
  <w:num w:numId="19" w16cid:durableId="78065605">
    <w:abstractNumId w:val="39"/>
  </w:num>
  <w:num w:numId="20" w16cid:durableId="135799791">
    <w:abstractNumId w:val="0"/>
  </w:num>
  <w:num w:numId="21" w16cid:durableId="1243640863">
    <w:abstractNumId w:val="32"/>
  </w:num>
  <w:num w:numId="22" w16cid:durableId="2007442872">
    <w:abstractNumId w:val="28"/>
  </w:num>
  <w:num w:numId="23" w16cid:durableId="1596746652">
    <w:abstractNumId w:val="2"/>
  </w:num>
  <w:num w:numId="24" w16cid:durableId="1816993404">
    <w:abstractNumId w:val="27"/>
  </w:num>
  <w:num w:numId="25" w16cid:durableId="697320885">
    <w:abstractNumId w:val="18"/>
  </w:num>
  <w:num w:numId="26" w16cid:durableId="723144841">
    <w:abstractNumId w:val="25"/>
  </w:num>
  <w:num w:numId="27" w16cid:durableId="1095128973">
    <w:abstractNumId w:val="4"/>
  </w:num>
  <w:num w:numId="28" w16cid:durableId="268440861">
    <w:abstractNumId w:val="1"/>
  </w:num>
  <w:num w:numId="29" w16cid:durableId="1225337266">
    <w:abstractNumId w:val="13"/>
  </w:num>
  <w:num w:numId="30" w16cid:durableId="1562476451">
    <w:abstractNumId w:val="5"/>
  </w:num>
  <w:num w:numId="31" w16cid:durableId="1079450330">
    <w:abstractNumId w:val="8"/>
  </w:num>
  <w:num w:numId="32" w16cid:durableId="48456741">
    <w:abstractNumId w:val="23"/>
  </w:num>
  <w:num w:numId="33" w16cid:durableId="1273246649">
    <w:abstractNumId w:val="6"/>
  </w:num>
  <w:num w:numId="34" w16cid:durableId="215432569">
    <w:abstractNumId w:val="29"/>
  </w:num>
  <w:num w:numId="35" w16cid:durableId="972833486">
    <w:abstractNumId w:val="9"/>
  </w:num>
  <w:num w:numId="36" w16cid:durableId="1816407076">
    <w:abstractNumId w:val="14"/>
  </w:num>
  <w:num w:numId="37" w16cid:durableId="1377704006">
    <w:abstractNumId w:val="10"/>
  </w:num>
  <w:num w:numId="38" w16cid:durableId="19430852">
    <w:abstractNumId w:val="15"/>
  </w:num>
  <w:num w:numId="39" w16cid:durableId="1112557968">
    <w:abstractNumId w:val="34"/>
  </w:num>
  <w:num w:numId="40" w16cid:durableId="16235479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58"/>
    <w:rsid w:val="0000277E"/>
    <w:rsid w:val="00002924"/>
    <w:rsid w:val="000060D1"/>
    <w:rsid w:val="000061F4"/>
    <w:rsid w:val="00012F14"/>
    <w:rsid w:val="0001401C"/>
    <w:rsid w:val="00017645"/>
    <w:rsid w:val="00017F8C"/>
    <w:rsid w:val="000309EB"/>
    <w:rsid w:val="00041B7E"/>
    <w:rsid w:val="00053E93"/>
    <w:rsid w:val="00056072"/>
    <w:rsid w:val="00063471"/>
    <w:rsid w:val="0007068E"/>
    <w:rsid w:val="00076286"/>
    <w:rsid w:val="000779D1"/>
    <w:rsid w:val="000822C2"/>
    <w:rsid w:val="00092DFD"/>
    <w:rsid w:val="000A2EC2"/>
    <w:rsid w:val="000C2546"/>
    <w:rsid w:val="000C7010"/>
    <w:rsid w:val="000C753D"/>
    <w:rsid w:val="000D2DC4"/>
    <w:rsid w:val="000D6A51"/>
    <w:rsid w:val="000D7C25"/>
    <w:rsid w:val="000E2258"/>
    <w:rsid w:val="000E2DBE"/>
    <w:rsid w:val="000E55D5"/>
    <w:rsid w:val="000F144D"/>
    <w:rsid w:val="000F4A59"/>
    <w:rsid w:val="00117446"/>
    <w:rsid w:val="001225E6"/>
    <w:rsid w:val="00127916"/>
    <w:rsid w:val="00132444"/>
    <w:rsid w:val="00157741"/>
    <w:rsid w:val="001658E8"/>
    <w:rsid w:val="001762A6"/>
    <w:rsid w:val="0018741D"/>
    <w:rsid w:val="001902A8"/>
    <w:rsid w:val="00191282"/>
    <w:rsid w:val="001953E6"/>
    <w:rsid w:val="001A49C7"/>
    <w:rsid w:val="001A516E"/>
    <w:rsid w:val="001C4C61"/>
    <w:rsid w:val="001C62B9"/>
    <w:rsid w:val="001C664E"/>
    <w:rsid w:val="001D023A"/>
    <w:rsid w:val="001F7869"/>
    <w:rsid w:val="002008E4"/>
    <w:rsid w:val="00204085"/>
    <w:rsid w:val="00215375"/>
    <w:rsid w:val="00222F6E"/>
    <w:rsid w:val="00233BB0"/>
    <w:rsid w:val="00246660"/>
    <w:rsid w:val="002529E3"/>
    <w:rsid w:val="0025701C"/>
    <w:rsid w:val="002607C6"/>
    <w:rsid w:val="00263CDE"/>
    <w:rsid w:val="00267912"/>
    <w:rsid w:val="00270601"/>
    <w:rsid w:val="00277FA3"/>
    <w:rsid w:val="00281D1F"/>
    <w:rsid w:val="00283962"/>
    <w:rsid w:val="00292CCA"/>
    <w:rsid w:val="00293B52"/>
    <w:rsid w:val="002A0F6C"/>
    <w:rsid w:val="002A213B"/>
    <w:rsid w:val="002A379D"/>
    <w:rsid w:val="002A65B3"/>
    <w:rsid w:val="002B51CC"/>
    <w:rsid w:val="002C375C"/>
    <w:rsid w:val="002E180E"/>
    <w:rsid w:val="002E5163"/>
    <w:rsid w:val="002E572A"/>
    <w:rsid w:val="002F6955"/>
    <w:rsid w:val="002F7F72"/>
    <w:rsid w:val="003002BD"/>
    <w:rsid w:val="00311873"/>
    <w:rsid w:val="00314D16"/>
    <w:rsid w:val="0031638E"/>
    <w:rsid w:val="003167B5"/>
    <w:rsid w:val="0031728E"/>
    <w:rsid w:val="0032488C"/>
    <w:rsid w:val="00325F1B"/>
    <w:rsid w:val="003429FC"/>
    <w:rsid w:val="00360A23"/>
    <w:rsid w:val="00361DDF"/>
    <w:rsid w:val="00362C9A"/>
    <w:rsid w:val="00363290"/>
    <w:rsid w:val="003679BE"/>
    <w:rsid w:val="0038568B"/>
    <w:rsid w:val="0038678F"/>
    <w:rsid w:val="00386831"/>
    <w:rsid w:val="003954BE"/>
    <w:rsid w:val="003A4EE1"/>
    <w:rsid w:val="003A68CA"/>
    <w:rsid w:val="003B4E3A"/>
    <w:rsid w:val="003B512E"/>
    <w:rsid w:val="003C4B33"/>
    <w:rsid w:val="003D5108"/>
    <w:rsid w:val="003E43A6"/>
    <w:rsid w:val="003E6498"/>
    <w:rsid w:val="0040088C"/>
    <w:rsid w:val="00402CA0"/>
    <w:rsid w:val="00404238"/>
    <w:rsid w:val="00405259"/>
    <w:rsid w:val="00407B43"/>
    <w:rsid w:val="00412D91"/>
    <w:rsid w:val="0041664C"/>
    <w:rsid w:val="00417108"/>
    <w:rsid w:val="00420A9E"/>
    <w:rsid w:val="00421CDB"/>
    <w:rsid w:val="004237F3"/>
    <w:rsid w:val="00433EAF"/>
    <w:rsid w:val="00452D6B"/>
    <w:rsid w:val="004555E0"/>
    <w:rsid w:val="004643EF"/>
    <w:rsid w:val="00470021"/>
    <w:rsid w:val="00484636"/>
    <w:rsid w:val="0049457F"/>
    <w:rsid w:val="004952C3"/>
    <w:rsid w:val="00496BA5"/>
    <w:rsid w:val="004A126D"/>
    <w:rsid w:val="004A1AB3"/>
    <w:rsid w:val="004C1FF7"/>
    <w:rsid w:val="004C3A46"/>
    <w:rsid w:val="004D204E"/>
    <w:rsid w:val="004E2801"/>
    <w:rsid w:val="004F407F"/>
    <w:rsid w:val="00501157"/>
    <w:rsid w:val="005146E5"/>
    <w:rsid w:val="0052242F"/>
    <w:rsid w:val="0053180B"/>
    <w:rsid w:val="005931B7"/>
    <w:rsid w:val="005933BA"/>
    <w:rsid w:val="005A4A6E"/>
    <w:rsid w:val="005B0822"/>
    <w:rsid w:val="005C128D"/>
    <w:rsid w:val="005C2208"/>
    <w:rsid w:val="005C68E9"/>
    <w:rsid w:val="005D0857"/>
    <w:rsid w:val="005D0DAB"/>
    <w:rsid w:val="005E1D1F"/>
    <w:rsid w:val="005E2271"/>
    <w:rsid w:val="005E23D8"/>
    <w:rsid w:val="005E6659"/>
    <w:rsid w:val="005F0ECD"/>
    <w:rsid w:val="005F2911"/>
    <w:rsid w:val="00604128"/>
    <w:rsid w:val="00613233"/>
    <w:rsid w:val="0061510A"/>
    <w:rsid w:val="0061633F"/>
    <w:rsid w:val="00620C9C"/>
    <w:rsid w:val="006223E2"/>
    <w:rsid w:val="00671A54"/>
    <w:rsid w:val="0067422F"/>
    <w:rsid w:val="00674289"/>
    <w:rsid w:val="00680353"/>
    <w:rsid w:val="006825B5"/>
    <w:rsid w:val="0068527D"/>
    <w:rsid w:val="00685D23"/>
    <w:rsid w:val="006915BF"/>
    <w:rsid w:val="006A7243"/>
    <w:rsid w:val="006B74AC"/>
    <w:rsid w:val="006C494E"/>
    <w:rsid w:val="006D1DDF"/>
    <w:rsid w:val="006D31E7"/>
    <w:rsid w:val="006D3860"/>
    <w:rsid w:val="006E2FA5"/>
    <w:rsid w:val="006E7AC6"/>
    <w:rsid w:val="00702B63"/>
    <w:rsid w:val="00703DB9"/>
    <w:rsid w:val="0071350B"/>
    <w:rsid w:val="00715847"/>
    <w:rsid w:val="007266B1"/>
    <w:rsid w:val="0074773A"/>
    <w:rsid w:val="00755B2C"/>
    <w:rsid w:val="0075776D"/>
    <w:rsid w:val="007630D6"/>
    <w:rsid w:val="00765F39"/>
    <w:rsid w:val="00780D7D"/>
    <w:rsid w:val="00782C47"/>
    <w:rsid w:val="00784FCB"/>
    <w:rsid w:val="00795A48"/>
    <w:rsid w:val="007A188D"/>
    <w:rsid w:val="007A73BB"/>
    <w:rsid w:val="007C1375"/>
    <w:rsid w:val="007C6E0F"/>
    <w:rsid w:val="007E1F02"/>
    <w:rsid w:val="007F5321"/>
    <w:rsid w:val="008009D5"/>
    <w:rsid w:val="00802258"/>
    <w:rsid w:val="0080657E"/>
    <w:rsid w:val="00810E66"/>
    <w:rsid w:val="008413C0"/>
    <w:rsid w:val="00844F5A"/>
    <w:rsid w:val="0084796F"/>
    <w:rsid w:val="0086037E"/>
    <w:rsid w:val="0086144C"/>
    <w:rsid w:val="00872BB7"/>
    <w:rsid w:val="00877115"/>
    <w:rsid w:val="00882B21"/>
    <w:rsid w:val="00883770"/>
    <w:rsid w:val="00884458"/>
    <w:rsid w:val="008916AE"/>
    <w:rsid w:val="008952D1"/>
    <w:rsid w:val="00896915"/>
    <w:rsid w:val="008A0AF6"/>
    <w:rsid w:val="008A31C0"/>
    <w:rsid w:val="008B12C3"/>
    <w:rsid w:val="008B298E"/>
    <w:rsid w:val="008C0C7A"/>
    <w:rsid w:val="008C365D"/>
    <w:rsid w:val="008C74FA"/>
    <w:rsid w:val="008D0FC7"/>
    <w:rsid w:val="008D5FFB"/>
    <w:rsid w:val="008E0FE7"/>
    <w:rsid w:val="008E1084"/>
    <w:rsid w:val="008E2A6F"/>
    <w:rsid w:val="008E62A9"/>
    <w:rsid w:val="008E706F"/>
    <w:rsid w:val="008F5E7D"/>
    <w:rsid w:val="009227A0"/>
    <w:rsid w:val="00923340"/>
    <w:rsid w:val="00923B31"/>
    <w:rsid w:val="00927F5E"/>
    <w:rsid w:val="00931210"/>
    <w:rsid w:val="00932816"/>
    <w:rsid w:val="00936DA3"/>
    <w:rsid w:val="009409F4"/>
    <w:rsid w:val="009422B6"/>
    <w:rsid w:val="009514DE"/>
    <w:rsid w:val="009526C0"/>
    <w:rsid w:val="00961508"/>
    <w:rsid w:val="00985305"/>
    <w:rsid w:val="009A5B75"/>
    <w:rsid w:val="009A6DA1"/>
    <w:rsid w:val="009A72A9"/>
    <w:rsid w:val="009B01E1"/>
    <w:rsid w:val="009B173F"/>
    <w:rsid w:val="009B1FC8"/>
    <w:rsid w:val="009B3EFE"/>
    <w:rsid w:val="009B67CF"/>
    <w:rsid w:val="009C111E"/>
    <w:rsid w:val="009C490B"/>
    <w:rsid w:val="009D5560"/>
    <w:rsid w:val="009D6DB4"/>
    <w:rsid w:val="009E12F3"/>
    <w:rsid w:val="009E5841"/>
    <w:rsid w:val="009F4347"/>
    <w:rsid w:val="00A025E6"/>
    <w:rsid w:val="00A14662"/>
    <w:rsid w:val="00A215F5"/>
    <w:rsid w:val="00A24593"/>
    <w:rsid w:val="00A2519E"/>
    <w:rsid w:val="00A27A3C"/>
    <w:rsid w:val="00A4215C"/>
    <w:rsid w:val="00A47865"/>
    <w:rsid w:val="00A63F78"/>
    <w:rsid w:val="00A74FB4"/>
    <w:rsid w:val="00A77957"/>
    <w:rsid w:val="00A77BA8"/>
    <w:rsid w:val="00A82697"/>
    <w:rsid w:val="00A827A1"/>
    <w:rsid w:val="00A944FE"/>
    <w:rsid w:val="00AA540D"/>
    <w:rsid w:val="00AB1BBD"/>
    <w:rsid w:val="00AB26D8"/>
    <w:rsid w:val="00AC0A55"/>
    <w:rsid w:val="00AC6112"/>
    <w:rsid w:val="00AE36E8"/>
    <w:rsid w:val="00AE74AB"/>
    <w:rsid w:val="00AF0743"/>
    <w:rsid w:val="00B07B4D"/>
    <w:rsid w:val="00B14E0C"/>
    <w:rsid w:val="00B17D38"/>
    <w:rsid w:val="00B20B75"/>
    <w:rsid w:val="00B2506D"/>
    <w:rsid w:val="00B270DA"/>
    <w:rsid w:val="00B41623"/>
    <w:rsid w:val="00B558C7"/>
    <w:rsid w:val="00B55D32"/>
    <w:rsid w:val="00B8127C"/>
    <w:rsid w:val="00B87EE1"/>
    <w:rsid w:val="00B954BF"/>
    <w:rsid w:val="00BA033D"/>
    <w:rsid w:val="00BA097F"/>
    <w:rsid w:val="00BA0CD2"/>
    <w:rsid w:val="00BA1878"/>
    <w:rsid w:val="00BA37BB"/>
    <w:rsid w:val="00BB0898"/>
    <w:rsid w:val="00BB124A"/>
    <w:rsid w:val="00BD0A22"/>
    <w:rsid w:val="00BD1FEB"/>
    <w:rsid w:val="00BD25F9"/>
    <w:rsid w:val="00BD4D58"/>
    <w:rsid w:val="00BE0464"/>
    <w:rsid w:val="00C04B34"/>
    <w:rsid w:val="00C066FF"/>
    <w:rsid w:val="00C1061B"/>
    <w:rsid w:val="00C112C3"/>
    <w:rsid w:val="00C116C4"/>
    <w:rsid w:val="00C21AAC"/>
    <w:rsid w:val="00C21EF3"/>
    <w:rsid w:val="00C32968"/>
    <w:rsid w:val="00C45AFF"/>
    <w:rsid w:val="00C51573"/>
    <w:rsid w:val="00C578A8"/>
    <w:rsid w:val="00C850AF"/>
    <w:rsid w:val="00C8574D"/>
    <w:rsid w:val="00C86714"/>
    <w:rsid w:val="00C94A6C"/>
    <w:rsid w:val="00CA2DFF"/>
    <w:rsid w:val="00CA3812"/>
    <w:rsid w:val="00CA5285"/>
    <w:rsid w:val="00CA7516"/>
    <w:rsid w:val="00CB1B46"/>
    <w:rsid w:val="00CD645C"/>
    <w:rsid w:val="00D01802"/>
    <w:rsid w:val="00D02DE2"/>
    <w:rsid w:val="00D07F37"/>
    <w:rsid w:val="00D203E4"/>
    <w:rsid w:val="00D2359C"/>
    <w:rsid w:val="00D243CB"/>
    <w:rsid w:val="00D402A1"/>
    <w:rsid w:val="00D463CA"/>
    <w:rsid w:val="00D574D4"/>
    <w:rsid w:val="00D60D78"/>
    <w:rsid w:val="00DA2CDB"/>
    <w:rsid w:val="00DC0EF5"/>
    <w:rsid w:val="00DC6501"/>
    <w:rsid w:val="00DD3924"/>
    <w:rsid w:val="00DD4A13"/>
    <w:rsid w:val="00DD4B4D"/>
    <w:rsid w:val="00DD4DCD"/>
    <w:rsid w:val="00DD665D"/>
    <w:rsid w:val="00DE6AB6"/>
    <w:rsid w:val="00DF041B"/>
    <w:rsid w:val="00DF0B8F"/>
    <w:rsid w:val="00E00882"/>
    <w:rsid w:val="00E068E5"/>
    <w:rsid w:val="00E276C9"/>
    <w:rsid w:val="00E324BC"/>
    <w:rsid w:val="00E355C4"/>
    <w:rsid w:val="00E36AB5"/>
    <w:rsid w:val="00E41DE3"/>
    <w:rsid w:val="00E42A91"/>
    <w:rsid w:val="00E503D7"/>
    <w:rsid w:val="00E551D4"/>
    <w:rsid w:val="00E5576F"/>
    <w:rsid w:val="00E660C8"/>
    <w:rsid w:val="00E846E1"/>
    <w:rsid w:val="00E84F31"/>
    <w:rsid w:val="00EA4ABD"/>
    <w:rsid w:val="00EA4E52"/>
    <w:rsid w:val="00EB18A9"/>
    <w:rsid w:val="00EB1DD1"/>
    <w:rsid w:val="00EB4FC9"/>
    <w:rsid w:val="00EC07C1"/>
    <w:rsid w:val="00EC1C02"/>
    <w:rsid w:val="00EC4A05"/>
    <w:rsid w:val="00ED194D"/>
    <w:rsid w:val="00ED60C9"/>
    <w:rsid w:val="00EE1E65"/>
    <w:rsid w:val="00EE2BD6"/>
    <w:rsid w:val="00EE5F6E"/>
    <w:rsid w:val="00EF1A59"/>
    <w:rsid w:val="00EF6A96"/>
    <w:rsid w:val="00F00A61"/>
    <w:rsid w:val="00F073CA"/>
    <w:rsid w:val="00F15256"/>
    <w:rsid w:val="00F17D76"/>
    <w:rsid w:val="00F207DF"/>
    <w:rsid w:val="00F232CB"/>
    <w:rsid w:val="00F23BD1"/>
    <w:rsid w:val="00F2522E"/>
    <w:rsid w:val="00F25E7C"/>
    <w:rsid w:val="00F2787A"/>
    <w:rsid w:val="00F30D48"/>
    <w:rsid w:val="00F3273F"/>
    <w:rsid w:val="00F33DB6"/>
    <w:rsid w:val="00F37EC7"/>
    <w:rsid w:val="00F524B2"/>
    <w:rsid w:val="00F53BFC"/>
    <w:rsid w:val="00F54960"/>
    <w:rsid w:val="00F5614D"/>
    <w:rsid w:val="00F6309D"/>
    <w:rsid w:val="00F73B72"/>
    <w:rsid w:val="00F745DE"/>
    <w:rsid w:val="00F7555C"/>
    <w:rsid w:val="00F75958"/>
    <w:rsid w:val="00F842B9"/>
    <w:rsid w:val="00F96FE4"/>
    <w:rsid w:val="00F97F65"/>
    <w:rsid w:val="00FA2718"/>
    <w:rsid w:val="00FA6FF0"/>
    <w:rsid w:val="00FB4595"/>
    <w:rsid w:val="00FB4651"/>
    <w:rsid w:val="00FB7706"/>
    <w:rsid w:val="00FC6EB9"/>
    <w:rsid w:val="00FD3950"/>
    <w:rsid w:val="00FE0A49"/>
    <w:rsid w:val="00FE2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CBD0"/>
  <w15:docId w15:val="{31862DDE-A7AA-40CD-8953-CD45F896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2">
    <w:name w:val="heading 2"/>
    <w:basedOn w:val="Normal"/>
    <w:next w:val="Normal"/>
    <w:qFormat/>
    <w:rsid w:val="00FE0A49"/>
    <w:pPr>
      <w:keepNext/>
      <w:widowControl w:val="0"/>
      <w:tabs>
        <w:tab w:val="left" w:pos="-720"/>
      </w:tabs>
      <w:suppressAutoHyphens/>
      <w:jc w:val="both"/>
      <w:outlineLvl w:val="1"/>
    </w:pPr>
    <w:rPr>
      <w:rFonts w:ascii="Courier New" w:hAnsi="Courier New"/>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4D58"/>
    <w:pPr>
      <w:tabs>
        <w:tab w:val="center" w:pos="4153"/>
        <w:tab w:val="right" w:pos="8306"/>
      </w:tabs>
      <w:autoSpaceDE w:val="0"/>
      <w:autoSpaceDN w:val="0"/>
    </w:pPr>
    <w:rPr>
      <w:rFonts w:ascii="CG Times" w:hAnsi="CG Times" w:cs="CG Times"/>
      <w:sz w:val="24"/>
      <w:szCs w:val="24"/>
      <w:lang w:val="en-GB"/>
    </w:rPr>
  </w:style>
  <w:style w:type="paragraph" w:customStyle="1" w:styleId="TxBr2p4">
    <w:name w:val="TxBr_2p4"/>
    <w:basedOn w:val="Normal"/>
    <w:rsid w:val="00BD4D58"/>
    <w:pPr>
      <w:spacing w:line="277" w:lineRule="atLeast"/>
      <w:ind w:left="658" w:hanging="300"/>
    </w:pPr>
    <w:rPr>
      <w:rFonts w:ascii="Times New Roman" w:hAnsi="Times New Roman"/>
      <w:sz w:val="24"/>
      <w:szCs w:val="20"/>
    </w:rPr>
  </w:style>
  <w:style w:type="paragraph" w:styleId="BodyText">
    <w:name w:val="Body Text"/>
    <w:basedOn w:val="Normal"/>
    <w:rsid w:val="00BD4D58"/>
    <w:pPr>
      <w:spacing w:line="480" w:lineRule="auto"/>
    </w:pPr>
    <w:rPr>
      <w:rFonts w:ascii="Tms Rmn" w:hAnsi="Tms Rmn"/>
      <w:sz w:val="24"/>
      <w:szCs w:val="20"/>
      <w:lang w:eastAsia="en-GB"/>
    </w:rPr>
  </w:style>
  <w:style w:type="paragraph" w:styleId="BodyTextIndent2">
    <w:name w:val="Body Text Indent 2"/>
    <w:basedOn w:val="Normal"/>
    <w:rsid w:val="00BD4D58"/>
    <w:pPr>
      <w:spacing w:line="480" w:lineRule="auto"/>
      <w:ind w:left="720" w:hanging="720"/>
    </w:pPr>
    <w:rPr>
      <w:rFonts w:ascii="Times New Roman" w:hAnsi="Times New Roman"/>
      <w:sz w:val="24"/>
      <w:szCs w:val="20"/>
      <w:lang w:eastAsia="en-GB"/>
    </w:rPr>
  </w:style>
  <w:style w:type="paragraph" w:styleId="Footer">
    <w:name w:val="footer"/>
    <w:basedOn w:val="Normal"/>
    <w:link w:val="FooterChar"/>
    <w:uiPriority w:val="99"/>
    <w:rsid w:val="00F33DB6"/>
    <w:pPr>
      <w:tabs>
        <w:tab w:val="center" w:pos="4153"/>
        <w:tab w:val="right" w:pos="8306"/>
      </w:tabs>
      <w:autoSpaceDE w:val="0"/>
      <w:autoSpaceDN w:val="0"/>
    </w:pPr>
    <w:rPr>
      <w:rFonts w:ascii="Times New Roman" w:hAnsi="Times New Roman"/>
      <w:sz w:val="24"/>
      <w:szCs w:val="24"/>
      <w:lang w:val="en-GB"/>
    </w:rPr>
  </w:style>
  <w:style w:type="character" w:styleId="PageNumber">
    <w:name w:val="page number"/>
    <w:basedOn w:val="DefaultParagraphFont"/>
    <w:uiPriority w:val="99"/>
    <w:rsid w:val="00F54960"/>
  </w:style>
  <w:style w:type="character" w:styleId="Hyperlink">
    <w:name w:val="Hyperlink"/>
    <w:rsid w:val="00EB18A9"/>
    <w:rPr>
      <w:color w:val="0000FF"/>
      <w:u w:val="single"/>
    </w:rPr>
  </w:style>
  <w:style w:type="paragraph" w:styleId="BodyTextIndent">
    <w:name w:val="Body Text Indent"/>
    <w:basedOn w:val="Normal"/>
    <w:rsid w:val="00E36AB5"/>
    <w:pPr>
      <w:spacing w:after="120"/>
      <w:ind w:left="283"/>
    </w:pPr>
  </w:style>
  <w:style w:type="paragraph" w:styleId="BodyText2">
    <w:name w:val="Body Text 2"/>
    <w:basedOn w:val="Normal"/>
    <w:link w:val="BodyText2Char"/>
    <w:rsid w:val="000E2DBE"/>
    <w:pPr>
      <w:spacing w:after="120" w:line="480" w:lineRule="auto"/>
    </w:pPr>
  </w:style>
  <w:style w:type="paragraph" w:styleId="BodyText3">
    <w:name w:val="Body Text 3"/>
    <w:basedOn w:val="Normal"/>
    <w:rsid w:val="000E2DBE"/>
    <w:pPr>
      <w:spacing w:after="120"/>
    </w:pPr>
    <w:rPr>
      <w:sz w:val="16"/>
      <w:szCs w:val="16"/>
    </w:rPr>
  </w:style>
  <w:style w:type="paragraph" w:styleId="Title">
    <w:name w:val="Title"/>
    <w:basedOn w:val="Normal"/>
    <w:link w:val="TitleChar"/>
    <w:qFormat/>
    <w:rsid w:val="000E2DBE"/>
    <w:pPr>
      <w:autoSpaceDE w:val="0"/>
      <w:autoSpaceDN w:val="0"/>
      <w:spacing w:before="120"/>
      <w:jc w:val="center"/>
    </w:pPr>
    <w:rPr>
      <w:rFonts w:cs="Arial"/>
      <w:b/>
      <w:bCs/>
      <w:sz w:val="32"/>
      <w:szCs w:val="32"/>
      <w:lang w:val="en-GB"/>
    </w:rPr>
  </w:style>
  <w:style w:type="paragraph" w:styleId="MacroText">
    <w:name w:val="macro"/>
    <w:semiHidden/>
    <w:rsid w:val="000E2DBE"/>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DocumentMap">
    <w:name w:val="Document Map"/>
    <w:basedOn w:val="Normal"/>
    <w:semiHidden/>
    <w:rsid w:val="009A5B75"/>
    <w:pPr>
      <w:shd w:val="clear" w:color="auto" w:fill="000080"/>
    </w:pPr>
    <w:rPr>
      <w:rFonts w:ascii="Tahoma" w:hAnsi="Tahoma" w:cs="Tahoma"/>
      <w:sz w:val="20"/>
      <w:szCs w:val="20"/>
    </w:rPr>
  </w:style>
  <w:style w:type="paragraph" w:styleId="ListParagraph">
    <w:name w:val="List Paragraph"/>
    <w:basedOn w:val="Normal"/>
    <w:uiPriority w:val="1"/>
    <w:qFormat/>
    <w:rsid w:val="00DF0B8F"/>
    <w:pPr>
      <w:spacing w:after="200" w:line="276" w:lineRule="auto"/>
      <w:ind w:left="720"/>
      <w:contextualSpacing/>
    </w:pPr>
    <w:rPr>
      <w:rFonts w:ascii="Calibri" w:eastAsia="Calibri" w:hAnsi="Calibri"/>
      <w:lang w:val="en-GB"/>
    </w:rPr>
  </w:style>
  <w:style w:type="character" w:customStyle="1" w:styleId="HeaderChar">
    <w:name w:val="Header Char"/>
    <w:link w:val="Header"/>
    <w:rsid w:val="00DF0B8F"/>
    <w:rPr>
      <w:rFonts w:ascii="CG Times" w:hAnsi="CG Times" w:cs="CG Times"/>
      <w:sz w:val="24"/>
      <w:szCs w:val="24"/>
      <w:lang w:eastAsia="en-US"/>
    </w:rPr>
  </w:style>
  <w:style w:type="character" w:customStyle="1" w:styleId="FooterChar">
    <w:name w:val="Footer Char"/>
    <w:link w:val="Footer"/>
    <w:uiPriority w:val="99"/>
    <w:rsid w:val="00DF0B8F"/>
    <w:rPr>
      <w:sz w:val="24"/>
      <w:szCs w:val="24"/>
      <w:lang w:eastAsia="en-US"/>
    </w:rPr>
  </w:style>
  <w:style w:type="character" w:customStyle="1" w:styleId="BodyText2Char">
    <w:name w:val="Body Text 2 Char"/>
    <w:link w:val="BodyText2"/>
    <w:rsid w:val="00DF0B8F"/>
    <w:rPr>
      <w:rFonts w:ascii="Arial" w:hAnsi="Arial"/>
      <w:sz w:val="22"/>
      <w:szCs w:val="22"/>
      <w:lang w:val="en-US" w:eastAsia="en-US"/>
    </w:rPr>
  </w:style>
  <w:style w:type="character" w:customStyle="1" w:styleId="TitleChar">
    <w:name w:val="Title Char"/>
    <w:link w:val="Title"/>
    <w:rsid w:val="00DF0B8F"/>
    <w:rPr>
      <w:rFonts w:ascii="Arial" w:hAnsi="Arial" w:cs="Arial"/>
      <w:b/>
      <w:bCs/>
      <w:sz w:val="32"/>
      <w:szCs w:val="32"/>
      <w:lang w:eastAsia="en-US"/>
    </w:rPr>
  </w:style>
  <w:style w:type="paragraph" w:styleId="BalloonText">
    <w:name w:val="Balloon Text"/>
    <w:basedOn w:val="Normal"/>
    <w:link w:val="BalloonTextChar"/>
    <w:rsid w:val="009B1FC8"/>
    <w:rPr>
      <w:rFonts w:ascii="Tahoma" w:hAnsi="Tahoma" w:cs="Tahoma"/>
      <w:sz w:val="16"/>
      <w:szCs w:val="16"/>
    </w:rPr>
  </w:style>
  <w:style w:type="character" w:customStyle="1" w:styleId="BalloonTextChar">
    <w:name w:val="Balloon Text Char"/>
    <w:link w:val="BalloonText"/>
    <w:rsid w:val="009B1FC8"/>
    <w:rPr>
      <w:rFonts w:ascii="Tahoma" w:hAnsi="Tahoma" w:cs="Tahoma"/>
      <w:sz w:val="16"/>
      <w:szCs w:val="16"/>
      <w:lang w:val="en-US" w:eastAsia="en-US"/>
    </w:rPr>
  </w:style>
  <w:style w:type="paragraph" w:styleId="FootnoteText">
    <w:name w:val="footnote text"/>
    <w:basedOn w:val="Normal"/>
    <w:link w:val="FootnoteTextChar"/>
    <w:rsid w:val="003D5108"/>
    <w:rPr>
      <w:sz w:val="20"/>
      <w:szCs w:val="20"/>
    </w:rPr>
  </w:style>
  <w:style w:type="character" w:customStyle="1" w:styleId="FootnoteTextChar">
    <w:name w:val="Footnote Text Char"/>
    <w:link w:val="FootnoteText"/>
    <w:rsid w:val="003D5108"/>
    <w:rPr>
      <w:rFonts w:ascii="Arial" w:hAnsi="Arial"/>
      <w:lang w:val="en-US" w:eastAsia="en-US"/>
    </w:rPr>
  </w:style>
  <w:style w:type="character" w:styleId="FootnoteReference">
    <w:name w:val="footnote reference"/>
    <w:rsid w:val="003D5108"/>
    <w:rPr>
      <w:vertAlign w:val="superscript"/>
    </w:rPr>
  </w:style>
  <w:style w:type="character" w:styleId="CommentReference">
    <w:name w:val="annotation reference"/>
    <w:rsid w:val="00EB4FC9"/>
    <w:rPr>
      <w:sz w:val="16"/>
      <w:szCs w:val="16"/>
    </w:rPr>
  </w:style>
  <w:style w:type="paragraph" w:styleId="CommentText">
    <w:name w:val="annotation text"/>
    <w:basedOn w:val="Normal"/>
    <w:link w:val="CommentTextChar"/>
    <w:rsid w:val="00EB4FC9"/>
    <w:rPr>
      <w:sz w:val="20"/>
      <w:szCs w:val="20"/>
    </w:rPr>
  </w:style>
  <w:style w:type="character" w:customStyle="1" w:styleId="CommentTextChar">
    <w:name w:val="Comment Text Char"/>
    <w:link w:val="CommentText"/>
    <w:rsid w:val="00EB4FC9"/>
    <w:rPr>
      <w:rFonts w:ascii="Arial" w:hAnsi="Arial"/>
      <w:lang w:val="en-US" w:eastAsia="en-US"/>
    </w:rPr>
  </w:style>
  <w:style w:type="paragraph" w:styleId="CommentSubject">
    <w:name w:val="annotation subject"/>
    <w:basedOn w:val="CommentText"/>
    <w:next w:val="CommentText"/>
    <w:link w:val="CommentSubjectChar"/>
    <w:rsid w:val="00EB4FC9"/>
    <w:rPr>
      <w:b/>
      <w:bCs/>
    </w:rPr>
  </w:style>
  <w:style w:type="character" w:customStyle="1" w:styleId="CommentSubjectChar">
    <w:name w:val="Comment Subject Char"/>
    <w:link w:val="CommentSubject"/>
    <w:rsid w:val="00EB4FC9"/>
    <w:rPr>
      <w:rFonts w:ascii="Arial" w:hAnsi="Arial"/>
      <w:b/>
      <w:bCs/>
      <w:lang w:val="en-US" w:eastAsia="en-US"/>
    </w:rPr>
  </w:style>
  <w:style w:type="paragraph" w:styleId="Revision">
    <w:name w:val="Revision"/>
    <w:hidden/>
    <w:uiPriority w:val="99"/>
    <w:semiHidden/>
    <w:rsid w:val="00F073CA"/>
    <w:rPr>
      <w:rFonts w:ascii="Arial" w:hAnsi="Arial"/>
      <w:sz w:val="22"/>
      <w:szCs w:val="22"/>
      <w:lang w:val="en-US" w:eastAsia="en-US"/>
    </w:rPr>
  </w:style>
  <w:style w:type="paragraph" w:customStyle="1" w:styleId="Default">
    <w:name w:val="Default"/>
    <w:rsid w:val="00F25E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30958">
      <w:bodyDiv w:val="1"/>
      <w:marLeft w:val="0"/>
      <w:marRight w:val="0"/>
      <w:marTop w:val="0"/>
      <w:marBottom w:val="0"/>
      <w:divBdr>
        <w:top w:val="none" w:sz="0" w:space="0" w:color="auto"/>
        <w:left w:val="none" w:sz="0" w:space="0" w:color="auto"/>
        <w:bottom w:val="none" w:sz="0" w:space="0" w:color="auto"/>
        <w:right w:val="none" w:sz="0" w:space="0" w:color="auto"/>
      </w:divBdr>
    </w:div>
    <w:div w:id="895966944">
      <w:bodyDiv w:val="1"/>
      <w:marLeft w:val="0"/>
      <w:marRight w:val="0"/>
      <w:marTop w:val="0"/>
      <w:marBottom w:val="0"/>
      <w:divBdr>
        <w:top w:val="none" w:sz="0" w:space="0" w:color="auto"/>
        <w:left w:val="none" w:sz="0" w:space="0" w:color="auto"/>
        <w:bottom w:val="none" w:sz="0" w:space="0" w:color="auto"/>
        <w:right w:val="none" w:sz="0" w:space="0" w:color="auto"/>
      </w:divBdr>
    </w:div>
    <w:div w:id="19027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96/701/regulation/4/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7D2F-90A7-4828-BFCB-1EF6DFE6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2883</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Parker</dc:creator>
  <cp:keywords/>
  <cp:lastModifiedBy>Renja Salonen</cp:lastModifiedBy>
  <cp:revision>17</cp:revision>
  <cp:lastPrinted>2015-08-11T09:36:00Z</cp:lastPrinted>
  <dcterms:created xsi:type="dcterms:W3CDTF">2022-10-13T11:48:00Z</dcterms:created>
  <dcterms:modified xsi:type="dcterms:W3CDTF">2024-09-02T09:25:00Z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