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99D9" w14:textId="77777777" w:rsidR="00745273" w:rsidRPr="00793243" w:rsidRDefault="00745273" w:rsidP="00930ED7">
      <w:pPr>
        <w:pStyle w:val="Title"/>
        <w:rPr>
          <w:rFonts w:ascii="Calibri" w:hAnsi="Calibri" w:cs="Calibri"/>
          <w:b/>
          <w:sz w:val="22"/>
          <w:szCs w:val="22"/>
        </w:rPr>
      </w:pPr>
    </w:p>
    <w:p w14:paraId="19E011A5" w14:textId="77777777" w:rsidR="00FB32CE" w:rsidRPr="00793243" w:rsidRDefault="009176DD" w:rsidP="005F65D5">
      <w:pPr>
        <w:pStyle w:val="Title"/>
        <w:spacing w:before="120"/>
        <w:rPr>
          <w:rFonts w:ascii="Calibri" w:hAnsi="Calibri" w:cs="Calibri"/>
          <w:b/>
          <w:sz w:val="28"/>
          <w:szCs w:val="28"/>
        </w:rPr>
      </w:pPr>
      <w:r w:rsidRPr="00793243">
        <w:rPr>
          <w:rFonts w:ascii="Calibri" w:hAnsi="Calibri" w:cs="Calibri"/>
          <w:b/>
          <w:sz w:val="28"/>
          <w:szCs w:val="28"/>
        </w:rPr>
        <w:t xml:space="preserve">Faculty of Public Health </w:t>
      </w:r>
      <w:r w:rsidR="0091451D" w:rsidRPr="00793243">
        <w:rPr>
          <w:rFonts w:ascii="Calibri" w:hAnsi="Calibri" w:cs="Calibri"/>
          <w:b/>
          <w:sz w:val="28"/>
          <w:szCs w:val="28"/>
        </w:rPr>
        <w:t>Projects Scheme</w:t>
      </w:r>
      <w:r w:rsidR="005F65D5" w:rsidRPr="00793243">
        <w:rPr>
          <w:rFonts w:ascii="Calibri" w:hAnsi="Calibri" w:cs="Calibri"/>
          <w:b/>
          <w:sz w:val="28"/>
          <w:szCs w:val="28"/>
        </w:rPr>
        <w:t xml:space="preserve"> brief</w:t>
      </w:r>
    </w:p>
    <w:p w14:paraId="4411AB6D" w14:textId="77777777" w:rsidR="007A4227" w:rsidRPr="00793243" w:rsidRDefault="007A4227" w:rsidP="001B17F5">
      <w:pPr>
        <w:rPr>
          <w:rFonts w:ascii="Calibri" w:eastAsia="Times New Roman" w:hAnsi="Calibri" w:cs="Calibri"/>
          <w:b/>
          <w:bCs/>
        </w:rPr>
      </w:pPr>
      <w:r w:rsidRPr="00793243">
        <w:rPr>
          <w:rFonts w:ascii="Calibri" w:eastAsia="Times New Roman" w:hAnsi="Calibri" w:cs="Calibri"/>
          <w:b/>
          <w:bCs/>
        </w:rPr>
        <w:t>Those wishing to apply for approval and advertisement of their projects should</w:t>
      </w:r>
      <w:r w:rsidR="001B17F5" w:rsidRPr="00793243">
        <w:rPr>
          <w:rFonts w:ascii="Calibri" w:eastAsia="Times New Roman" w:hAnsi="Calibri" w:cs="Calibri"/>
          <w:b/>
          <w:bCs/>
        </w:rPr>
        <w:t xml:space="preserve"> </w:t>
      </w:r>
      <w:r w:rsidRPr="00793243">
        <w:rPr>
          <w:rFonts w:ascii="Calibri" w:eastAsia="Times New Roman" w:hAnsi="Calibri" w:cs="Calibri"/>
          <w:b/>
          <w:bCs/>
        </w:rPr>
        <w:t xml:space="preserve">email this completed form to: </w:t>
      </w:r>
      <w:hyperlink r:id="rId11" w:history="1">
        <w:r w:rsidR="00B2471A" w:rsidRPr="00793243">
          <w:rPr>
            <w:rStyle w:val="Hyperlink"/>
            <w:rFonts w:ascii="Calibri" w:eastAsia="Times New Roman" w:hAnsi="Calibri" w:cs="Calibri"/>
            <w:b/>
            <w:bCs/>
          </w:rPr>
          <w:t>educ@fph.org.uk</w:t>
        </w:r>
      </w:hyperlink>
      <w:r w:rsidR="00B2471A" w:rsidRPr="00793243">
        <w:rPr>
          <w:rFonts w:ascii="Calibri" w:eastAsia="Times New Roman" w:hAnsi="Calibri" w:cs="Calibri"/>
          <w:b/>
          <w:bCs/>
        </w:rPr>
        <w:t xml:space="preserve">. This form should </w:t>
      </w:r>
      <w:r w:rsidRPr="00793243">
        <w:rPr>
          <w:rFonts w:ascii="Calibri" w:eastAsia="Times New Roman" w:hAnsi="Calibri" w:cs="Calibri"/>
          <w:b/>
          <w:bCs/>
        </w:rPr>
        <w:t xml:space="preserve">be completed by the </w:t>
      </w:r>
      <w:r w:rsidR="0041645C" w:rsidRPr="00793243">
        <w:rPr>
          <w:rFonts w:ascii="Calibri" w:eastAsia="Times New Roman" w:hAnsi="Calibri" w:cs="Calibri"/>
          <w:b/>
          <w:bCs/>
        </w:rPr>
        <w:t>Project L</w:t>
      </w:r>
      <w:r w:rsidR="00B2471A" w:rsidRPr="00793243">
        <w:rPr>
          <w:rFonts w:ascii="Calibri" w:eastAsia="Times New Roman" w:hAnsi="Calibri" w:cs="Calibri"/>
          <w:b/>
          <w:bCs/>
        </w:rPr>
        <w:t>ead.</w:t>
      </w:r>
    </w:p>
    <w:tbl>
      <w:tblPr>
        <w:tblStyle w:val="TableGrid"/>
        <w:tblW w:w="9781" w:type="dxa"/>
        <w:tblInd w:w="-5" w:type="dxa"/>
        <w:tblLook w:val="04A0" w:firstRow="1" w:lastRow="0" w:firstColumn="1" w:lastColumn="0" w:noHBand="0" w:noVBand="1"/>
      </w:tblPr>
      <w:tblGrid>
        <w:gridCol w:w="3828"/>
        <w:gridCol w:w="5953"/>
      </w:tblGrid>
      <w:tr w:rsidR="007A4227" w:rsidRPr="00793243" w14:paraId="2204F5B8" w14:textId="77777777" w:rsidTr="00BB5586">
        <w:tc>
          <w:tcPr>
            <w:tcW w:w="3828" w:type="dxa"/>
          </w:tcPr>
          <w:p w14:paraId="74EA4F2F" w14:textId="77777777" w:rsidR="007A4227" w:rsidRPr="00793243" w:rsidRDefault="007A4227" w:rsidP="00B2471A">
            <w:pPr>
              <w:rPr>
                <w:rFonts w:ascii="Calibri" w:eastAsia="Times New Roman" w:hAnsi="Calibri" w:cs="Calibri"/>
                <w:b/>
                <w:bCs/>
              </w:rPr>
            </w:pPr>
            <w:r w:rsidRPr="00793243">
              <w:rPr>
                <w:rFonts w:ascii="Calibri" w:eastAsia="Times New Roman" w:hAnsi="Calibri" w:cs="Calibri"/>
                <w:b/>
                <w:bCs/>
              </w:rPr>
              <w:t>Name</w:t>
            </w:r>
            <w:r w:rsidR="00B2471A" w:rsidRPr="00793243">
              <w:rPr>
                <w:rFonts w:ascii="Calibri" w:eastAsia="Times New Roman" w:hAnsi="Calibri" w:cs="Calibri"/>
                <w:b/>
                <w:bCs/>
              </w:rPr>
              <w:t xml:space="preserve"> of the Project Lead</w:t>
            </w:r>
          </w:p>
        </w:tc>
        <w:tc>
          <w:tcPr>
            <w:tcW w:w="5953" w:type="dxa"/>
          </w:tcPr>
          <w:p w14:paraId="5BECAF11" w14:textId="4F79EEFC" w:rsidR="007A4227" w:rsidRPr="00793243" w:rsidRDefault="00793243" w:rsidP="00F97870">
            <w:pPr>
              <w:rPr>
                <w:rFonts w:ascii="Calibri" w:hAnsi="Calibri" w:cs="Calibri"/>
              </w:rPr>
            </w:pPr>
            <w:r w:rsidRPr="00793243">
              <w:rPr>
                <w:rFonts w:ascii="Calibri" w:hAnsi="Calibri" w:cs="Calibri"/>
              </w:rPr>
              <w:t>Tracy Daszkiewicz</w:t>
            </w:r>
          </w:p>
        </w:tc>
      </w:tr>
      <w:tr w:rsidR="007A4227" w:rsidRPr="00793243" w14:paraId="456F32BA" w14:textId="77777777" w:rsidTr="00BB5586">
        <w:tc>
          <w:tcPr>
            <w:tcW w:w="3828" w:type="dxa"/>
          </w:tcPr>
          <w:p w14:paraId="335365D1" w14:textId="77777777" w:rsidR="007A4227" w:rsidRPr="00793243" w:rsidRDefault="007A4227" w:rsidP="00B2471A">
            <w:pPr>
              <w:rPr>
                <w:rFonts w:ascii="Calibri" w:eastAsia="Times New Roman" w:hAnsi="Calibri" w:cs="Calibri"/>
                <w:b/>
                <w:bCs/>
              </w:rPr>
            </w:pPr>
            <w:r w:rsidRPr="00793243">
              <w:rPr>
                <w:rFonts w:ascii="Calibri" w:eastAsia="Times New Roman" w:hAnsi="Calibri" w:cs="Calibri"/>
                <w:b/>
                <w:bCs/>
              </w:rPr>
              <w:t>Contact details</w:t>
            </w:r>
          </w:p>
        </w:tc>
        <w:tc>
          <w:tcPr>
            <w:tcW w:w="5953" w:type="dxa"/>
          </w:tcPr>
          <w:p w14:paraId="3FFF6FC2" w14:textId="4AE9DA9F" w:rsidR="00B2471A" w:rsidRPr="00793243" w:rsidRDefault="00B2471A" w:rsidP="00F97870">
            <w:pPr>
              <w:rPr>
                <w:rFonts w:ascii="Calibri" w:hAnsi="Calibri" w:cs="Calibri"/>
              </w:rPr>
            </w:pPr>
            <w:r w:rsidRPr="00793243">
              <w:rPr>
                <w:rFonts w:ascii="Calibri" w:hAnsi="Calibri" w:cs="Calibri"/>
              </w:rPr>
              <w:t>Email:</w:t>
            </w:r>
            <w:r w:rsidR="00793243" w:rsidRPr="00793243">
              <w:rPr>
                <w:rFonts w:ascii="Calibri" w:hAnsi="Calibri" w:cs="Calibri"/>
              </w:rPr>
              <w:t xml:space="preserve"> </w:t>
            </w:r>
            <w:hyperlink r:id="rId12" w:history="1">
              <w:r w:rsidR="00BB5586" w:rsidRPr="00153820">
                <w:rPr>
                  <w:rStyle w:val="Hyperlink"/>
                  <w:rFonts w:ascii="Calibri" w:hAnsi="Calibri" w:cs="Calibri"/>
                </w:rPr>
                <w:t>president@fph.org.uk</w:t>
              </w:r>
            </w:hyperlink>
          </w:p>
        </w:tc>
      </w:tr>
      <w:tr w:rsidR="007A4227" w:rsidRPr="00793243" w14:paraId="6C7F1E1D" w14:textId="77777777" w:rsidTr="00BB5586">
        <w:tc>
          <w:tcPr>
            <w:tcW w:w="3828" w:type="dxa"/>
          </w:tcPr>
          <w:p w14:paraId="55F9EDD3" w14:textId="77777777" w:rsidR="007A4227" w:rsidRPr="00793243" w:rsidRDefault="007A4227" w:rsidP="00F97870">
            <w:pPr>
              <w:rPr>
                <w:rFonts w:ascii="Calibri" w:eastAsia="Times New Roman" w:hAnsi="Calibri" w:cs="Calibri"/>
                <w:b/>
                <w:bCs/>
              </w:rPr>
            </w:pPr>
            <w:r w:rsidRPr="00793243">
              <w:rPr>
                <w:rFonts w:ascii="Calibri" w:eastAsia="Times New Roman" w:hAnsi="Calibri" w:cs="Calibri"/>
                <w:b/>
                <w:bCs/>
              </w:rPr>
              <w:t>Date</w:t>
            </w:r>
          </w:p>
        </w:tc>
        <w:tc>
          <w:tcPr>
            <w:tcW w:w="5953" w:type="dxa"/>
          </w:tcPr>
          <w:p w14:paraId="702592D6" w14:textId="7645539C" w:rsidR="007A4227" w:rsidRPr="00793243" w:rsidRDefault="00793243" w:rsidP="00F97870">
            <w:pPr>
              <w:rPr>
                <w:rFonts w:ascii="Calibri" w:hAnsi="Calibri" w:cs="Calibri"/>
              </w:rPr>
            </w:pPr>
            <w:r w:rsidRPr="00793243">
              <w:rPr>
                <w:rFonts w:ascii="Calibri" w:hAnsi="Calibri" w:cs="Calibri"/>
              </w:rPr>
              <w:t xml:space="preserve">26 </w:t>
            </w:r>
            <w:r w:rsidR="00A23C65">
              <w:rPr>
                <w:rFonts w:ascii="Calibri" w:hAnsi="Calibri" w:cs="Calibri"/>
              </w:rPr>
              <w:t>March</w:t>
            </w:r>
            <w:r w:rsidRPr="00793243">
              <w:rPr>
                <w:rFonts w:ascii="Calibri" w:hAnsi="Calibri" w:cs="Calibri"/>
              </w:rPr>
              <w:t xml:space="preserve"> 2026</w:t>
            </w:r>
          </w:p>
        </w:tc>
      </w:tr>
    </w:tbl>
    <w:p w14:paraId="63B340D5" w14:textId="77777777" w:rsidR="007A4227" w:rsidRPr="00793243" w:rsidRDefault="007A4227" w:rsidP="001B17F5">
      <w:pPr>
        <w:pStyle w:val="Heading3"/>
        <w:rPr>
          <w:rFonts w:ascii="Calibri" w:hAnsi="Calibri" w:cs="Calibri"/>
          <w:sz w:val="22"/>
          <w:szCs w:val="22"/>
        </w:rPr>
      </w:pPr>
      <w:r w:rsidRPr="00793243">
        <w:rPr>
          <w:rFonts w:ascii="Calibri" w:hAnsi="Calibri" w:cs="Calibri"/>
          <w:sz w:val="22"/>
          <w:szCs w:val="22"/>
        </w:rPr>
        <w:t>Project Details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3828"/>
        <w:gridCol w:w="5953"/>
      </w:tblGrid>
      <w:tr w:rsidR="007A4227" w:rsidRPr="00873BB5" w14:paraId="083518A4" w14:textId="77777777" w:rsidTr="00BB5586">
        <w:trPr>
          <w:trHeight w:val="446"/>
        </w:trPr>
        <w:tc>
          <w:tcPr>
            <w:tcW w:w="3828" w:type="dxa"/>
          </w:tcPr>
          <w:p w14:paraId="6ECB26C9" w14:textId="77777777" w:rsidR="007A4227" w:rsidRPr="00873BB5" w:rsidRDefault="00745273" w:rsidP="007A45BE">
            <w:pPr>
              <w:spacing w:after="0" w:line="240" w:lineRule="auto"/>
              <w:rPr>
                <w:rFonts w:eastAsia="Times New Roman" w:cstheme="minorHAnsi"/>
                <w:b/>
                <w:bCs/>
              </w:rPr>
            </w:pPr>
            <w:r w:rsidRPr="00873BB5">
              <w:rPr>
                <w:rFonts w:eastAsia="Times New Roman" w:cstheme="minorHAnsi"/>
                <w:b/>
                <w:bCs/>
              </w:rPr>
              <w:t>Title</w:t>
            </w:r>
            <w:r w:rsidR="00B2471A" w:rsidRPr="00873BB5">
              <w:rPr>
                <w:rFonts w:eastAsia="Times New Roman" w:cstheme="minorHAnsi"/>
                <w:b/>
                <w:bCs/>
              </w:rPr>
              <w:t xml:space="preserve"> </w:t>
            </w:r>
            <w:r w:rsidR="007A45BE" w:rsidRPr="00873BB5">
              <w:rPr>
                <w:rFonts w:eastAsia="Times New Roman" w:cstheme="minorHAnsi"/>
                <w:b/>
                <w:bCs/>
              </w:rPr>
              <w:t xml:space="preserve">and brief </w:t>
            </w:r>
            <w:r w:rsidRPr="00873BB5">
              <w:rPr>
                <w:rFonts w:eastAsia="Times New Roman" w:cstheme="minorHAnsi"/>
                <w:b/>
                <w:bCs/>
              </w:rPr>
              <w:t>d</w:t>
            </w:r>
            <w:r w:rsidR="007A4227" w:rsidRPr="00873BB5">
              <w:rPr>
                <w:rFonts w:eastAsia="Times New Roman" w:cstheme="minorHAnsi"/>
                <w:b/>
                <w:bCs/>
              </w:rPr>
              <w:t xml:space="preserve">escription of </w:t>
            </w:r>
            <w:r w:rsidR="007A45BE" w:rsidRPr="00873BB5">
              <w:rPr>
                <w:rFonts w:eastAsia="Times New Roman" w:cstheme="minorHAnsi"/>
                <w:b/>
                <w:bCs/>
              </w:rPr>
              <w:t xml:space="preserve">the </w:t>
            </w:r>
            <w:r w:rsidRPr="00873BB5">
              <w:rPr>
                <w:rFonts w:eastAsia="Times New Roman" w:cstheme="minorHAnsi"/>
                <w:b/>
                <w:bCs/>
              </w:rPr>
              <w:t>p</w:t>
            </w:r>
            <w:r w:rsidR="007A4227" w:rsidRPr="00873BB5">
              <w:rPr>
                <w:rFonts w:eastAsia="Times New Roman" w:cstheme="minorHAnsi"/>
                <w:b/>
                <w:bCs/>
              </w:rPr>
              <w:t>roject with summary of key roles and outputs expected from the registrar</w:t>
            </w:r>
          </w:p>
        </w:tc>
        <w:tc>
          <w:tcPr>
            <w:tcW w:w="5953" w:type="dxa"/>
          </w:tcPr>
          <w:p w14:paraId="320BE6DE" w14:textId="77777777" w:rsidR="00793243" w:rsidRPr="00873BB5" w:rsidRDefault="00793243" w:rsidP="00793243">
            <w:pPr>
              <w:spacing w:after="0" w:line="240" w:lineRule="auto"/>
              <w:rPr>
                <w:rFonts w:eastAsia="Times New Roman" w:cstheme="minorHAnsi"/>
                <w:lang w:eastAsia="en-GB"/>
              </w:rPr>
            </w:pPr>
            <w:r w:rsidRPr="00873BB5">
              <w:rPr>
                <w:rFonts w:eastAsia="Times New Roman" w:cstheme="minorHAnsi"/>
                <w:lang w:eastAsia="en-GB"/>
              </w:rPr>
              <w:t>Public Health Registrar Placement: Emergency Planning &amp; Pandemic Preparedness Programme</w:t>
            </w:r>
          </w:p>
          <w:p w14:paraId="60D42354" w14:textId="77777777" w:rsidR="00BB5586" w:rsidRPr="00873BB5" w:rsidRDefault="00BB5586" w:rsidP="00793243">
            <w:pPr>
              <w:spacing w:after="0" w:line="240" w:lineRule="auto"/>
              <w:rPr>
                <w:rFonts w:eastAsia="Times New Roman" w:cstheme="minorHAnsi"/>
                <w:lang w:eastAsia="en-GB"/>
              </w:rPr>
            </w:pPr>
          </w:p>
          <w:p w14:paraId="7FB214EE" w14:textId="5D38A30D" w:rsidR="00793243" w:rsidRPr="00873BB5" w:rsidRDefault="00793243" w:rsidP="00793243">
            <w:pPr>
              <w:spacing w:after="0" w:line="240" w:lineRule="auto"/>
              <w:rPr>
                <w:rFonts w:eastAsia="Times New Roman" w:cstheme="minorHAnsi"/>
                <w:lang w:eastAsia="en-GB"/>
              </w:rPr>
            </w:pPr>
            <w:r w:rsidRPr="00873BB5">
              <w:rPr>
                <w:rFonts w:eastAsia="Times New Roman" w:cstheme="minorHAnsi"/>
                <w:lang w:eastAsia="en-GB"/>
              </w:rPr>
              <w:t>This project offers a Public Health Registrar the opportunity to work directly with the President of the Faculty of Public Health (FPH) and the newly established Special Interest Group (SIG) on Pandemic Preparedness. The registrar will contribute to a UK</w:t>
            </w:r>
            <w:r w:rsidRPr="00873BB5">
              <w:rPr>
                <w:rFonts w:eastAsia="Times New Roman" w:cstheme="minorHAnsi"/>
                <w:lang w:eastAsia="en-GB"/>
              </w:rPr>
              <w:noBreakHyphen/>
              <w:t>wide programme of work focused on strengthening emergency planning, preparedness, and professional leadership. Using lessons from COVID</w:t>
            </w:r>
            <w:r w:rsidRPr="00873BB5">
              <w:rPr>
                <w:rFonts w:eastAsia="Times New Roman" w:cstheme="minorHAnsi"/>
                <w:lang w:eastAsia="en-GB"/>
              </w:rPr>
              <w:noBreakHyphen/>
              <w:t>19, global evidence, and cross</w:t>
            </w:r>
            <w:r w:rsidRPr="00873BB5">
              <w:rPr>
                <w:rFonts w:eastAsia="Times New Roman" w:cstheme="minorHAnsi"/>
                <w:lang w:eastAsia="en-GB"/>
              </w:rPr>
              <w:noBreakHyphen/>
              <w:t>sector insights, the registrar will help shape FPH’s strategic position, professional standards, and system</w:t>
            </w:r>
            <w:r w:rsidRPr="00873BB5">
              <w:rPr>
                <w:rFonts w:eastAsia="Times New Roman" w:cstheme="minorHAnsi"/>
                <w:lang w:eastAsia="en-GB"/>
              </w:rPr>
              <w:noBreakHyphen/>
              <w:t>wide influence in emergency preparedness.</w:t>
            </w:r>
          </w:p>
          <w:p w14:paraId="2F3EDBB7" w14:textId="77777777" w:rsidR="00BB5586" w:rsidRPr="00873BB5" w:rsidRDefault="00BB5586" w:rsidP="00793243">
            <w:pPr>
              <w:spacing w:after="0" w:line="240" w:lineRule="auto"/>
              <w:rPr>
                <w:rFonts w:eastAsia="Times New Roman" w:cstheme="minorHAnsi"/>
                <w:lang w:eastAsia="en-GB"/>
              </w:rPr>
            </w:pPr>
          </w:p>
          <w:p w14:paraId="120EB7B0" w14:textId="032EA364" w:rsidR="00793243" w:rsidRPr="00873BB5" w:rsidRDefault="00793243" w:rsidP="00793243">
            <w:pPr>
              <w:spacing w:after="0" w:line="240" w:lineRule="auto"/>
              <w:rPr>
                <w:rFonts w:eastAsia="Times New Roman" w:cstheme="minorHAnsi"/>
                <w:lang w:eastAsia="en-GB"/>
              </w:rPr>
            </w:pPr>
            <w:r w:rsidRPr="00873BB5">
              <w:rPr>
                <w:rFonts w:eastAsia="Times New Roman" w:cstheme="minorHAnsi"/>
                <w:lang w:eastAsia="en-GB"/>
              </w:rPr>
              <w:t>Key areas of contribution:</w:t>
            </w:r>
          </w:p>
          <w:p w14:paraId="59A983D9" w14:textId="77777777" w:rsidR="00793243" w:rsidRPr="00873BB5" w:rsidRDefault="00793243" w:rsidP="00793243">
            <w:pPr>
              <w:numPr>
                <w:ilvl w:val="0"/>
                <w:numId w:val="22"/>
              </w:numPr>
              <w:spacing w:after="0" w:line="240" w:lineRule="auto"/>
              <w:rPr>
                <w:rFonts w:eastAsia="Times New Roman" w:cstheme="minorHAnsi"/>
                <w:lang w:eastAsia="en-GB"/>
              </w:rPr>
            </w:pPr>
            <w:r w:rsidRPr="00873BB5">
              <w:rPr>
                <w:rFonts w:eastAsia="Times New Roman" w:cstheme="minorHAnsi"/>
                <w:lang w:eastAsia="en-GB"/>
              </w:rPr>
              <w:t>Developing a shared professional narrative for preparedness across the UK</w:t>
            </w:r>
          </w:p>
          <w:p w14:paraId="5733FC6A" w14:textId="77777777" w:rsidR="00793243" w:rsidRPr="00873BB5" w:rsidRDefault="00793243" w:rsidP="00793243">
            <w:pPr>
              <w:numPr>
                <w:ilvl w:val="0"/>
                <w:numId w:val="22"/>
              </w:numPr>
              <w:spacing w:after="0" w:line="240" w:lineRule="auto"/>
              <w:rPr>
                <w:rFonts w:eastAsia="Times New Roman" w:cstheme="minorHAnsi"/>
                <w:lang w:eastAsia="en-GB"/>
              </w:rPr>
            </w:pPr>
            <w:r w:rsidRPr="00873BB5">
              <w:rPr>
                <w:rFonts w:eastAsia="Times New Roman" w:cstheme="minorHAnsi"/>
                <w:lang w:eastAsia="en-GB"/>
              </w:rPr>
              <w:t>Supporting evidence reviews and position statements on early action, governance, decision</w:t>
            </w:r>
            <w:r w:rsidRPr="00873BB5">
              <w:rPr>
                <w:rFonts w:eastAsia="Times New Roman" w:cstheme="minorHAnsi"/>
                <w:lang w:eastAsia="en-GB"/>
              </w:rPr>
              <w:noBreakHyphen/>
              <w:t>making, workforce resilience, equity, and trust</w:t>
            </w:r>
          </w:p>
          <w:p w14:paraId="00674D85" w14:textId="77777777" w:rsidR="00793243" w:rsidRPr="00873BB5" w:rsidRDefault="00793243" w:rsidP="00793243">
            <w:pPr>
              <w:numPr>
                <w:ilvl w:val="0"/>
                <w:numId w:val="22"/>
              </w:numPr>
              <w:spacing w:after="0" w:line="240" w:lineRule="auto"/>
              <w:rPr>
                <w:rFonts w:eastAsia="Times New Roman" w:cstheme="minorHAnsi"/>
                <w:lang w:eastAsia="en-GB"/>
              </w:rPr>
            </w:pPr>
            <w:r w:rsidRPr="00873BB5">
              <w:rPr>
                <w:rFonts w:eastAsia="Times New Roman" w:cstheme="minorHAnsi"/>
                <w:lang w:eastAsia="en-GB"/>
              </w:rPr>
              <w:t>Engaging with multi</w:t>
            </w:r>
            <w:r w:rsidRPr="00873BB5">
              <w:rPr>
                <w:rFonts w:eastAsia="Times New Roman" w:cstheme="minorHAnsi"/>
                <w:lang w:eastAsia="en-GB"/>
              </w:rPr>
              <w:noBreakHyphen/>
              <w:t>disciplinary partners across public health, government, health services, and community sectors</w:t>
            </w:r>
          </w:p>
          <w:p w14:paraId="1615A715" w14:textId="77777777" w:rsidR="00793243" w:rsidRPr="00873BB5" w:rsidRDefault="00793243" w:rsidP="00793243">
            <w:pPr>
              <w:numPr>
                <w:ilvl w:val="0"/>
                <w:numId w:val="22"/>
              </w:numPr>
              <w:spacing w:after="0" w:line="240" w:lineRule="auto"/>
              <w:rPr>
                <w:rFonts w:eastAsia="Times New Roman" w:cstheme="minorHAnsi"/>
                <w:lang w:eastAsia="en-GB"/>
              </w:rPr>
            </w:pPr>
            <w:r w:rsidRPr="00873BB5">
              <w:rPr>
                <w:rFonts w:eastAsia="Times New Roman" w:cstheme="minorHAnsi"/>
                <w:lang w:eastAsia="en-GB"/>
              </w:rPr>
              <w:t>Supporting the practical development of the SIG, including events, outputs, and collaborative work programmes</w:t>
            </w:r>
          </w:p>
          <w:p w14:paraId="57B79A35" w14:textId="77777777" w:rsidR="00793243" w:rsidRPr="00873BB5" w:rsidRDefault="00793243" w:rsidP="00793243">
            <w:pPr>
              <w:numPr>
                <w:ilvl w:val="0"/>
                <w:numId w:val="22"/>
              </w:numPr>
              <w:spacing w:after="0" w:line="240" w:lineRule="auto"/>
              <w:rPr>
                <w:rFonts w:eastAsia="Times New Roman" w:cstheme="minorHAnsi"/>
                <w:lang w:eastAsia="en-GB"/>
              </w:rPr>
            </w:pPr>
            <w:r w:rsidRPr="00873BB5">
              <w:rPr>
                <w:rFonts w:eastAsia="Times New Roman" w:cstheme="minorHAnsi"/>
                <w:lang w:eastAsia="en-GB"/>
              </w:rPr>
              <w:t>Synthesising national and international evidence for FPH leadership and advocacy</w:t>
            </w:r>
          </w:p>
          <w:p w14:paraId="39A3D9B3" w14:textId="77777777" w:rsidR="00793243" w:rsidRPr="00873BB5" w:rsidRDefault="00793243" w:rsidP="00793243">
            <w:pPr>
              <w:spacing w:after="0" w:line="240" w:lineRule="auto"/>
              <w:rPr>
                <w:rFonts w:eastAsia="Times New Roman" w:cstheme="minorHAnsi"/>
                <w:lang w:eastAsia="en-GB"/>
              </w:rPr>
            </w:pPr>
            <w:r w:rsidRPr="00873BB5">
              <w:rPr>
                <w:rFonts w:eastAsia="Times New Roman" w:cstheme="minorHAnsi"/>
                <w:b/>
                <w:bCs/>
                <w:lang w:eastAsia="en-GB"/>
              </w:rPr>
              <w:t>Expected Outputs:</w:t>
            </w:r>
          </w:p>
          <w:p w14:paraId="5DE36A0A" w14:textId="77777777" w:rsidR="00793243" w:rsidRPr="00873BB5" w:rsidRDefault="00793243" w:rsidP="00793243">
            <w:pPr>
              <w:numPr>
                <w:ilvl w:val="0"/>
                <w:numId w:val="23"/>
              </w:numPr>
              <w:spacing w:after="0" w:line="240" w:lineRule="auto"/>
              <w:rPr>
                <w:rFonts w:eastAsia="Times New Roman" w:cstheme="minorHAnsi"/>
                <w:lang w:eastAsia="en-GB"/>
              </w:rPr>
            </w:pPr>
            <w:r w:rsidRPr="00873BB5">
              <w:rPr>
                <w:rFonts w:eastAsia="Times New Roman" w:cstheme="minorHAnsi"/>
                <w:lang w:eastAsia="en-GB"/>
              </w:rPr>
              <w:t>A written report or set of evidence summaries addressing key preparedness questions</w:t>
            </w:r>
          </w:p>
          <w:p w14:paraId="7867DC71" w14:textId="77777777" w:rsidR="00793243" w:rsidRPr="00873BB5" w:rsidRDefault="00793243" w:rsidP="00793243">
            <w:pPr>
              <w:numPr>
                <w:ilvl w:val="0"/>
                <w:numId w:val="23"/>
              </w:numPr>
              <w:spacing w:after="0" w:line="240" w:lineRule="auto"/>
              <w:rPr>
                <w:rFonts w:eastAsia="Times New Roman" w:cstheme="minorHAnsi"/>
                <w:lang w:eastAsia="en-GB"/>
              </w:rPr>
            </w:pPr>
            <w:r w:rsidRPr="00873BB5">
              <w:rPr>
                <w:rFonts w:eastAsia="Times New Roman" w:cstheme="minorHAnsi"/>
                <w:lang w:eastAsia="en-GB"/>
              </w:rPr>
              <w:t>Draft FPH guidance, briefing notes, or competency statements</w:t>
            </w:r>
          </w:p>
          <w:p w14:paraId="4380E0F3" w14:textId="77777777" w:rsidR="00793243" w:rsidRPr="00873BB5" w:rsidRDefault="00793243" w:rsidP="00793243">
            <w:pPr>
              <w:numPr>
                <w:ilvl w:val="0"/>
                <w:numId w:val="23"/>
              </w:numPr>
              <w:spacing w:after="0" w:line="240" w:lineRule="auto"/>
              <w:rPr>
                <w:rFonts w:eastAsia="Times New Roman" w:cstheme="minorHAnsi"/>
                <w:lang w:eastAsia="en-GB"/>
              </w:rPr>
            </w:pPr>
            <w:r w:rsidRPr="00873BB5">
              <w:rPr>
                <w:rFonts w:eastAsia="Times New Roman" w:cstheme="minorHAnsi"/>
                <w:lang w:eastAsia="en-GB"/>
              </w:rPr>
              <w:t>An analysis of priority themes for UK pandemic preparedness informed by evidence and SIG discussions</w:t>
            </w:r>
          </w:p>
          <w:p w14:paraId="42429488" w14:textId="77777777" w:rsidR="00793243" w:rsidRPr="00873BB5" w:rsidRDefault="00793243" w:rsidP="00793243">
            <w:pPr>
              <w:numPr>
                <w:ilvl w:val="0"/>
                <w:numId w:val="23"/>
              </w:numPr>
              <w:spacing w:after="0" w:line="240" w:lineRule="auto"/>
              <w:rPr>
                <w:rFonts w:eastAsia="Times New Roman" w:cstheme="minorHAnsi"/>
                <w:lang w:eastAsia="en-GB"/>
              </w:rPr>
            </w:pPr>
            <w:r w:rsidRPr="00873BB5">
              <w:rPr>
                <w:rFonts w:eastAsia="Times New Roman" w:cstheme="minorHAnsi"/>
                <w:lang w:eastAsia="en-GB"/>
              </w:rPr>
              <w:t>Contributions to SIG events, workshops or consultations</w:t>
            </w:r>
          </w:p>
          <w:p w14:paraId="3C32E983" w14:textId="5A5EF686" w:rsidR="007A45BE" w:rsidRPr="00873BB5" w:rsidRDefault="00793243" w:rsidP="00F97870">
            <w:pPr>
              <w:numPr>
                <w:ilvl w:val="0"/>
                <w:numId w:val="23"/>
              </w:numPr>
              <w:spacing w:after="0" w:line="240" w:lineRule="auto"/>
              <w:rPr>
                <w:rFonts w:eastAsia="Times New Roman" w:cstheme="minorHAnsi"/>
                <w:lang w:eastAsia="en-GB"/>
              </w:rPr>
            </w:pPr>
            <w:r w:rsidRPr="00873BB5">
              <w:rPr>
                <w:rFonts w:eastAsia="Times New Roman" w:cstheme="minorHAnsi"/>
                <w:lang w:eastAsia="en-GB"/>
              </w:rPr>
              <w:t>A final reflective portfolio demonstrating competency development</w:t>
            </w:r>
          </w:p>
        </w:tc>
      </w:tr>
      <w:tr w:rsidR="00B2471A" w:rsidRPr="00873BB5" w14:paraId="0C3638BD" w14:textId="77777777" w:rsidTr="00BB5586">
        <w:trPr>
          <w:trHeight w:val="379"/>
        </w:trPr>
        <w:tc>
          <w:tcPr>
            <w:tcW w:w="3828" w:type="dxa"/>
          </w:tcPr>
          <w:p w14:paraId="77FEFB14" w14:textId="77777777" w:rsidR="00B2471A" w:rsidRPr="00873BB5" w:rsidRDefault="00B2471A" w:rsidP="00F97870">
            <w:pPr>
              <w:spacing w:after="0" w:line="240" w:lineRule="auto"/>
              <w:rPr>
                <w:rFonts w:eastAsia="Times New Roman" w:cstheme="minorHAnsi"/>
                <w:b/>
                <w:bCs/>
              </w:rPr>
            </w:pPr>
            <w:r w:rsidRPr="00873BB5">
              <w:rPr>
                <w:rFonts w:eastAsia="Times New Roman" w:cstheme="minorHAnsi"/>
                <w:b/>
                <w:bCs/>
              </w:rPr>
              <w:t>Name of the organisation supporting the project</w:t>
            </w:r>
          </w:p>
        </w:tc>
        <w:tc>
          <w:tcPr>
            <w:tcW w:w="5953" w:type="dxa"/>
          </w:tcPr>
          <w:p w14:paraId="0BF3349E" w14:textId="3A253587" w:rsidR="00B2471A" w:rsidRPr="00873BB5" w:rsidRDefault="00793243" w:rsidP="00F97870">
            <w:pPr>
              <w:rPr>
                <w:rFonts w:cstheme="minorHAnsi"/>
              </w:rPr>
            </w:pPr>
            <w:r w:rsidRPr="00873BB5">
              <w:rPr>
                <w:rFonts w:cstheme="minorHAnsi"/>
              </w:rPr>
              <w:t>Faculty of Public Health</w:t>
            </w:r>
          </w:p>
        </w:tc>
      </w:tr>
      <w:tr w:rsidR="00B2471A" w:rsidRPr="00873BB5" w14:paraId="2760D321" w14:textId="77777777" w:rsidTr="00BB5586">
        <w:trPr>
          <w:trHeight w:val="379"/>
        </w:trPr>
        <w:tc>
          <w:tcPr>
            <w:tcW w:w="3828" w:type="dxa"/>
          </w:tcPr>
          <w:p w14:paraId="172B6C00" w14:textId="77777777" w:rsidR="00B2471A" w:rsidRPr="00873BB5" w:rsidRDefault="00B2471A" w:rsidP="00B2471A">
            <w:pPr>
              <w:spacing w:after="0" w:line="240" w:lineRule="auto"/>
              <w:rPr>
                <w:rFonts w:eastAsia="Times New Roman" w:cstheme="minorHAnsi"/>
                <w:b/>
                <w:bCs/>
              </w:rPr>
            </w:pPr>
            <w:r w:rsidRPr="00873BB5">
              <w:rPr>
                <w:rFonts w:eastAsia="Times New Roman" w:cstheme="minorHAnsi"/>
                <w:b/>
                <w:bCs/>
              </w:rPr>
              <w:t xml:space="preserve">Where will the Registrar be based for the duration of the project? </w:t>
            </w:r>
          </w:p>
        </w:tc>
        <w:tc>
          <w:tcPr>
            <w:tcW w:w="5953" w:type="dxa"/>
          </w:tcPr>
          <w:p w14:paraId="77DAFE75" w14:textId="44F9A048" w:rsidR="00B2471A" w:rsidRPr="00873BB5" w:rsidRDefault="00793243" w:rsidP="00BB5586">
            <w:pPr>
              <w:spacing w:after="0" w:line="240" w:lineRule="auto"/>
              <w:rPr>
                <w:rFonts w:eastAsia="Times New Roman" w:cstheme="minorHAnsi"/>
                <w:lang w:eastAsia="en-GB"/>
              </w:rPr>
            </w:pPr>
            <w:r w:rsidRPr="00873BB5">
              <w:rPr>
                <w:rFonts w:eastAsia="Times New Roman" w:cstheme="minorHAnsi"/>
                <w:lang w:eastAsia="en-GB"/>
              </w:rPr>
              <w:t>The registrar may be based remotely with periodic travel to FPH headquarters or partner meetings, depending on project need</w:t>
            </w:r>
          </w:p>
        </w:tc>
      </w:tr>
      <w:tr w:rsidR="007A45BE" w:rsidRPr="00873BB5" w14:paraId="0EF437E6" w14:textId="77777777" w:rsidTr="00BB5586">
        <w:trPr>
          <w:trHeight w:val="379"/>
        </w:trPr>
        <w:tc>
          <w:tcPr>
            <w:tcW w:w="3828" w:type="dxa"/>
          </w:tcPr>
          <w:p w14:paraId="48905FF2" w14:textId="77777777" w:rsidR="007A45BE" w:rsidRPr="00873BB5" w:rsidRDefault="007A45BE" w:rsidP="007A45BE">
            <w:pPr>
              <w:spacing w:after="0" w:line="240" w:lineRule="auto"/>
              <w:rPr>
                <w:rFonts w:eastAsia="Times New Roman" w:cstheme="minorHAnsi"/>
                <w:b/>
                <w:bCs/>
              </w:rPr>
            </w:pPr>
            <w:r w:rsidRPr="00873BB5">
              <w:rPr>
                <w:rFonts w:eastAsia="Times New Roman" w:cstheme="minorHAnsi"/>
                <w:b/>
                <w:bCs/>
              </w:rPr>
              <w:lastRenderedPageBreak/>
              <w:t>Please set out the Learning Outcomes and likely competencies to be achieved by the registrar from Public Health Specialty Training Curriculum</w:t>
            </w:r>
          </w:p>
        </w:tc>
        <w:tc>
          <w:tcPr>
            <w:tcW w:w="5953" w:type="dxa"/>
          </w:tcPr>
          <w:p w14:paraId="5D56DD40" w14:textId="316563F7" w:rsidR="006527F8" w:rsidRPr="00873BB5" w:rsidRDefault="006527F8" w:rsidP="006527F8">
            <w:pPr>
              <w:spacing w:after="0" w:line="300" w:lineRule="atLeast"/>
              <w:rPr>
                <w:rFonts w:eastAsia="Times New Roman" w:cstheme="minorHAnsi"/>
                <w:lang w:eastAsia="en-GB"/>
              </w:rPr>
            </w:pPr>
            <w:r w:rsidRPr="00873BB5">
              <w:rPr>
                <w:rFonts w:eastAsia="Times New Roman" w:cstheme="minorHAnsi"/>
                <w:b/>
                <w:bCs/>
                <w:kern w:val="36"/>
                <w:lang w:eastAsia="en-GB"/>
              </w:rPr>
              <w:t xml:space="preserve">KA1 – Use of public health intelligence </w:t>
            </w:r>
          </w:p>
          <w:p w14:paraId="6872B764" w14:textId="70AC7039" w:rsidR="006527F8" w:rsidRPr="00873BB5" w:rsidRDefault="00AB6A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The project</w:t>
            </w:r>
            <w:r w:rsidR="006527F8" w:rsidRPr="00873BB5">
              <w:rPr>
                <w:rFonts w:eastAsia="Times New Roman" w:cstheme="minorHAnsi"/>
                <w:lang w:eastAsia="en-GB"/>
              </w:rPr>
              <w:t xml:space="preserve"> aligns with KA1 </w:t>
            </w:r>
            <w:r w:rsidRPr="00873BB5">
              <w:rPr>
                <w:rFonts w:eastAsia="Times New Roman" w:cstheme="minorHAnsi"/>
                <w:lang w:eastAsia="en-GB"/>
              </w:rPr>
              <w:t>as the</w:t>
            </w:r>
            <w:r w:rsidR="006527F8" w:rsidRPr="00873BB5">
              <w:rPr>
                <w:rFonts w:eastAsia="Times New Roman" w:cstheme="minorHAnsi"/>
                <w:lang w:eastAsia="en-GB"/>
              </w:rPr>
              <w:t xml:space="preserve"> registrar will:</w:t>
            </w:r>
          </w:p>
          <w:p w14:paraId="13F25AB0" w14:textId="77777777" w:rsidR="006527F8" w:rsidRPr="00873BB5" w:rsidRDefault="006527F8" w:rsidP="006527F8">
            <w:pPr>
              <w:numPr>
                <w:ilvl w:val="0"/>
                <w:numId w:val="31"/>
              </w:num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Critically appraise and synthesise pandemic evidence (KA1 evidence gathering)</w:t>
            </w:r>
          </w:p>
          <w:p w14:paraId="538DBFDE" w14:textId="77777777" w:rsidR="006527F8" w:rsidRPr="00873BB5" w:rsidRDefault="006527F8" w:rsidP="006527F8">
            <w:pPr>
              <w:numPr>
                <w:ilvl w:val="0"/>
                <w:numId w:val="31"/>
              </w:num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Understand surveillance and early</w:t>
            </w:r>
            <w:r w:rsidRPr="00873BB5">
              <w:rPr>
                <w:rFonts w:eastAsia="Times New Roman" w:cstheme="minorHAnsi"/>
                <w:lang w:eastAsia="en-GB"/>
              </w:rPr>
              <w:noBreakHyphen/>
              <w:t>warning systems (KA2.1, 2.2 equivalent functionality)</w:t>
            </w:r>
          </w:p>
          <w:p w14:paraId="00068EC1"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KA1.1 – Gathers and analyses intelligence from multiple data sources to identify trends, patterns, and emerging risks.</w:t>
            </w:r>
          </w:p>
          <w:p w14:paraId="169F3332"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KA1.6 – Interprets surveillance data to inform risk assessment and early warning.</w:t>
            </w:r>
          </w:p>
          <w:p w14:paraId="747BB7AA"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Why this fits: The EPPR work requires synthesising pandemic evidence and understanding early</w:t>
            </w:r>
            <w:r w:rsidRPr="00873BB5">
              <w:rPr>
                <w:rFonts w:ascii="Cambria Math" w:eastAsia="Times New Roman" w:hAnsi="Cambria Math" w:cs="Cambria Math"/>
                <w:lang w:eastAsia="en-GB"/>
              </w:rPr>
              <w:t>‑</w:t>
            </w:r>
            <w:r w:rsidRPr="00873BB5">
              <w:rPr>
                <w:rFonts w:eastAsia="Times New Roman" w:cstheme="minorHAnsi"/>
                <w:lang w:eastAsia="en-GB"/>
              </w:rPr>
              <w:t>warning systems, directly supporting KA1’s intelligence and assessment skills.</w:t>
            </w:r>
          </w:p>
          <w:p w14:paraId="4941EC96" w14:textId="77777777" w:rsidR="006527F8" w:rsidRPr="00873BB5" w:rsidRDefault="006527F8" w:rsidP="006527F8">
            <w:pPr>
              <w:spacing w:after="0" w:line="300" w:lineRule="atLeast"/>
              <w:rPr>
                <w:rFonts w:eastAsia="Times New Roman" w:cstheme="minorHAnsi"/>
                <w:lang w:eastAsia="en-GB"/>
              </w:rPr>
            </w:pPr>
            <w:r w:rsidRPr="00873BB5">
              <w:rPr>
                <w:rFonts w:eastAsia="Times New Roman" w:cstheme="minorHAnsi"/>
                <w:b/>
                <w:bCs/>
                <w:kern w:val="36"/>
                <w:lang w:eastAsia="en-GB"/>
              </w:rPr>
              <w:t xml:space="preserve">KA2 – Assessing Evidence &amp; Evaluating Interventions </w:t>
            </w:r>
          </w:p>
          <w:p w14:paraId="011E19A0" w14:textId="44F2CBDB" w:rsidR="006527F8" w:rsidRPr="00873BB5" w:rsidRDefault="00AB6A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The project</w:t>
            </w:r>
            <w:r w:rsidR="006527F8" w:rsidRPr="00873BB5">
              <w:rPr>
                <w:rFonts w:eastAsia="Times New Roman" w:cstheme="minorHAnsi"/>
                <w:lang w:eastAsia="en-GB"/>
              </w:rPr>
              <w:t xml:space="preserve"> maps directly to KA2, as the registrar will:</w:t>
            </w:r>
          </w:p>
          <w:p w14:paraId="7AC9CE83" w14:textId="77777777" w:rsidR="006527F8" w:rsidRPr="00873BB5" w:rsidRDefault="006527F8" w:rsidP="006527F8">
            <w:pPr>
              <w:numPr>
                <w:ilvl w:val="0"/>
                <w:numId w:val="32"/>
              </w:num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Review evidence on governance, risk communication &amp; PHSM (KA2 evidence evaluation)</w:t>
            </w:r>
          </w:p>
          <w:p w14:paraId="2B046B0F" w14:textId="77777777" w:rsidR="006527F8" w:rsidRPr="00873BB5" w:rsidRDefault="006527F8" w:rsidP="006527F8">
            <w:pPr>
              <w:numPr>
                <w:ilvl w:val="0"/>
                <w:numId w:val="32"/>
              </w:num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Assess models of preparedness and response (KA2: using evidence to determine effectiveness)</w:t>
            </w:r>
          </w:p>
          <w:p w14:paraId="638BDA04"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KA2.1 – Critically appraises published and grey literature. Evaluates the effectiveness and appropriateness of interventions.</w:t>
            </w:r>
          </w:p>
          <w:p w14:paraId="0737B4CE"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KA2.2 – Applies evidence to form judgements on optimal intervention options.</w:t>
            </w:r>
          </w:p>
          <w:p w14:paraId="7F200525"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 xml:space="preserve">KA2.7 - Implement or apply evidence-based practice, appropriately demonstrating taking account of stakeholder needs and views </w:t>
            </w:r>
            <w:proofErr w:type="gramStart"/>
            <w:r w:rsidRPr="00873BB5">
              <w:rPr>
                <w:rFonts w:eastAsia="Times New Roman" w:cstheme="minorHAnsi"/>
                <w:lang w:eastAsia="en-GB"/>
              </w:rPr>
              <w:t>in order to</w:t>
            </w:r>
            <w:proofErr w:type="gramEnd"/>
            <w:r w:rsidRPr="00873BB5">
              <w:rPr>
                <w:rFonts w:eastAsia="Times New Roman" w:cstheme="minorHAnsi"/>
                <w:lang w:eastAsia="en-GB"/>
              </w:rPr>
              <w:t xml:space="preserve"> facilitate system-wide leadership and change</w:t>
            </w:r>
          </w:p>
          <w:p w14:paraId="5EEBE809" w14:textId="702E94D3" w:rsidR="006527F8" w:rsidRPr="00873BB5" w:rsidRDefault="006527F8" w:rsidP="00BB5586">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 xml:space="preserve">Why this fits: Reviewing PHSM, governance, risk communication, and models of preparedness directly </w:t>
            </w:r>
            <w:proofErr w:type="gramStart"/>
            <w:r w:rsidRPr="00873BB5">
              <w:rPr>
                <w:rFonts w:eastAsia="Times New Roman" w:cstheme="minorHAnsi"/>
                <w:lang w:eastAsia="en-GB"/>
              </w:rPr>
              <w:t>uses</w:t>
            </w:r>
            <w:proofErr w:type="gramEnd"/>
            <w:r w:rsidRPr="00873BB5">
              <w:rPr>
                <w:rFonts w:eastAsia="Times New Roman" w:cstheme="minorHAnsi"/>
                <w:lang w:eastAsia="en-GB"/>
              </w:rPr>
              <w:t xml:space="preserve"> KA2 evaluative competencies.</w:t>
            </w:r>
          </w:p>
          <w:p w14:paraId="1B319350" w14:textId="77777777" w:rsidR="006527F8" w:rsidRPr="00873BB5" w:rsidRDefault="006527F8" w:rsidP="006527F8">
            <w:pPr>
              <w:spacing w:after="0" w:line="300" w:lineRule="atLeast"/>
              <w:rPr>
                <w:rFonts w:eastAsia="Times New Roman" w:cstheme="minorHAnsi"/>
                <w:lang w:eastAsia="en-GB"/>
              </w:rPr>
            </w:pPr>
            <w:r w:rsidRPr="00873BB5">
              <w:rPr>
                <w:rFonts w:eastAsia="Times New Roman" w:cstheme="minorHAnsi"/>
                <w:b/>
                <w:bCs/>
                <w:kern w:val="36"/>
                <w:lang w:eastAsia="en-GB"/>
              </w:rPr>
              <w:t xml:space="preserve">KA3 – Policy &amp; Strategy Development </w:t>
            </w:r>
          </w:p>
          <w:p w14:paraId="57ED2912" w14:textId="279B7658" w:rsidR="006527F8" w:rsidRPr="00873BB5" w:rsidRDefault="00AB6A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 xml:space="preserve">The project aligns with </w:t>
            </w:r>
            <w:r w:rsidR="006527F8" w:rsidRPr="00873BB5">
              <w:rPr>
                <w:rFonts w:eastAsia="Times New Roman" w:cstheme="minorHAnsi"/>
                <w:lang w:eastAsia="en-GB"/>
              </w:rPr>
              <w:t>KA3 because the registrar will:</w:t>
            </w:r>
          </w:p>
          <w:p w14:paraId="404D7C8B" w14:textId="77777777" w:rsidR="006527F8" w:rsidRPr="00873BB5" w:rsidRDefault="006527F8" w:rsidP="006527F8">
            <w:pPr>
              <w:numPr>
                <w:ilvl w:val="0"/>
                <w:numId w:val="33"/>
              </w:num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Shape strategic FPH policy positions (KA3 policy formulation)</w:t>
            </w:r>
          </w:p>
          <w:p w14:paraId="2AB1D0BF" w14:textId="0F478E43" w:rsidR="006527F8" w:rsidRPr="00873BB5" w:rsidRDefault="006527F8" w:rsidP="006527F8">
            <w:pPr>
              <w:numPr>
                <w:ilvl w:val="0"/>
                <w:numId w:val="33"/>
              </w:num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lastRenderedPageBreak/>
              <w:t>Contribute advice on governance, equity &amp; workforce resilience (KA3 strategy development)</w:t>
            </w:r>
          </w:p>
          <w:p w14:paraId="02A1E8DC"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KA 3.1 - Demonstrate knowledge of current national and international policies and strategies that affect health and wellbeing.</w:t>
            </w:r>
          </w:p>
          <w:p w14:paraId="186EFF9D"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KA3.2 - Evaluate a situation to define a public health problem and identify objectives; outline the steps required to achieve change and prepare strategic options for action.</w:t>
            </w:r>
          </w:p>
          <w:p w14:paraId="7550ECA5" w14:textId="20C2C666"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 xml:space="preserve">KA3.3 </w:t>
            </w:r>
            <w:r w:rsidR="00BB5586" w:rsidRPr="00873BB5">
              <w:rPr>
                <w:rFonts w:eastAsia="Times New Roman" w:cstheme="minorHAnsi"/>
                <w:lang w:eastAsia="en-GB"/>
              </w:rPr>
              <w:t xml:space="preserve">– </w:t>
            </w:r>
            <w:r w:rsidRPr="00873BB5">
              <w:rPr>
                <w:rFonts w:eastAsia="Times New Roman" w:cstheme="minorHAnsi"/>
                <w:lang w:eastAsia="en-GB"/>
              </w:rPr>
              <w:t>Assesses</w:t>
            </w:r>
            <w:r w:rsidR="00BB5586" w:rsidRPr="00873BB5">
              <w:rPr>
                <w:rFonts w:eastAsia="Times New Roman" w:cstheme="minorHAnsi"/>
                <w:lang w:eastAsia="en-GB"/>
              </w:rPr>
              <w:t xml:space="preserve"> </w:t>
            </w:r>
            <w:r w:rsidRPr="00873BB5">
              <w:rPr>
                <w:rFonts w:eastAsia="Times New Roman" w:cstheme="minorHAnsi"/>
                <w:lang w:eastAsia="en-GB"/>
              </w:rPr>
              <w:t>potential impacts of policy options on equity, systems, and populations.</w:t>
            </w:r>
          </w:p>
          <w:p w14:paraId="3C937924"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KA3.5 – Drafts, contributes to, or critiques strategic frameworks.</w:t>
            </w:r>
          </w:p>
          <w:p w14:paraId="009B3605"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KA3.6 – Supports implementation planning.</w:t>
            </w:r>
          </w:p>
          <w:p w14:paraId="480D6453" w14:textId="281A70E4" w:rsidR="006527F8" w:rsidRPr="00873BB5" w:rsidRDefault="006527F8" w:rsidP="00BB5586">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Why this fits: Drafting FPH guidance, positioning statements, and contributing to national governance/strategy fits directly with KA3.</w:t>
            </w:r>
          </w:p>
          <w:p w14:paraId="471C9919" w14:textId="5AFB8EC5" w:rsidR="006527F8" w:rsidRPr="00873BB5" w:rsidRDefault="006527F8" w:rsidP="006527F8">
            <w:pPr>
              <w:spacing w:after="0" w:line="300" w:lineRule="atLeast"/>
              <w:rPr>
                <w:rFonts w:eastAsia="Times New Roman" w:cstheme="minorHAnsi"/>
                <w:lang w:eastAsia="en-GB"/>
              </w:rPr>
            </w:pPr>
            <w:r w:rsidRPr="00873BB5">
              <w:rPr>
                <w:rFonts w:eastAsia="Times New Roman" w:cstheme="minorHAnsi"/>
                <w:b/>
                <w:bCs/>
                <w:kern w:val="36"/>
                <w:lang w:eastAsia="en-GB"/>
              </w:rPr>
              <w:t>KA4 – Strategic Leadership &amp; Collaborative Working</w:t>
            </w:r>
          </w:p>
          <w:p w14:paraId="2F2A3437" w14:textId="14D952A5" w:rsidR="006527F8" w:rsidRPr="00873BB5" w:rsidRDefault="00105EF9"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The project</w:t>
            </w:r>
            <w:r w:rsidR="006527F8" w:rsidRPr="00873BB5">
              <w:rPr>
                <w:rFonts w:eastAsia="Times New Roman" w:cstheme="minorHAnsi"/>
                <w:lang w:eastAsia="en-GB"/>
              </w:rPr>
              <w:t xml:space="preserve"> aligns with KA4:</w:t>
            </w:r>
          </w:p>
          <w:p w14:paraId="0121FD8C" w14:textId="77777777" w:rsidR="006527F8" w:rsidRPr="00873BB5" w:rsidRDefault="006527F8" w:rsidP="006527F8">
            <w:pPr>
              <w:numPr>
                <w:ilvl w:val="0"/>
                <w:numId w:val="34"/>
              </w:num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Working with the FPH President and SIG Chairs reflects KA4 multi</w:t>
            </w:r>
            <w:r w:rsidRPr="00873BB5">
              <w:rPr>
                <w:rFonts w:eastAsia="Times New Roman" w:cstheme="minorHAnsi"/>
                <w:lang w:eastAsia="en-GB"/>
              </w:rPr>
              <w:noBreakHyphen/>
              <w:t>agency leadership</w:t>
            </w:r>
          </w:p>
          <w:p w14:paraId="100895FD" w14:textId="77777777" w:rsidR="006527F8" w:rsidRPr="00873BB5" w:rsidRDefault="006527F8" w:rsidP="006527F8">
            <w:pPr>
              <w:numPr>
                <w:ilvl w:val="0"/>
                <w:numId w:val="34"/>
              </w:num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Strengthening networks across the UK public health community aligns to KA4 partnership influence</w:t>
            </w:r>
          </w:p>
          <w:p w14:paraId="346ED23E"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KA4.1 – Demonstrates leadership behaviours in complex and ambiguous settings.</w:t>
            </w:r>
          </w:p>
          <w:p w14:paraId="1A8476DF"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KA4.2 - High</w:t>
            </w:r>
            <w:r w:rsidRPr="00873BB5">
              <w:rPr>
                <w:rFonts w:eastAsia="Times New Roman" w:cstheme="minorHAnsi"/>
                <w:lang w:eastAsia="en-GB"/>
              </w:rPr>
              <w:noBreakHyphen/>
              <w:t xml:space="preserve">level communication, presentation and writing for professional audiences </w:t>
            </w:r>
          </w:p>
          <w:p w14:paraId="66D0F8C7"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KA4.4 - significant contribution to shaping and delivering part of a bigger work programme</w:t>
            </w:r>
          </w:p>
          <w:p w14:paraId="79E4CF7B"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KA4.5 – Works effectively in multi</w:t>
            </w:r>
            <w:r w:rsidRPr="00873BB5">
              <w:rPr>
                <w:rFonts w:ascii="Cambria Math" w:eastAsia="Times New Roman" w:hAnsi="Cambria Math" w:cs="Cambria Math"/>
                <w:lang w:eastAsia="en-GB"/>
              </w:rPr>
              <w:t>‑</w:t>
            </w:r>
            <w:r w:rsidRPr="00873BB5">
              <w:rPr>
                <w:rFonts w:eastAsia="Times New Roman" w:cstheme="minorHAnsi"/>
                <w:lang w:eastAsia="en-GB"/>
              </w:rPr>
              <w:t>agency systems at senior levels. Develops and sustains strategic partnerships.</w:t>
            </w:r>
          </w:p>
          <w:p w14:paraId="59F89A77"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KA4.8 – Uses influence to build consensus and support system collaboration.</w:t>
            </w:r>
          </w:p>
          <w:p w14:paraId="1BB24BEE" w14:textId="3D7C2C1A" w:rsidR="006527F8" w:rsidRPr="00873BB5" w:rsidRDefault="006527F8" w:rsidP="00BB5586">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Why this fits: The registrar works directly with national leaders (FPH President, SIG Chairs) and UK partners — exactly the environments described in KA4.</w:t>
            </w:r>
          </w:p>
          <w:p w14:paraId="7F55D288" w14:textId="7FA0F819" w:rsidR="00105EF9" w:rsidRPr="00873BB5" w:rsidRDefault="006527F8" w:rsidP="006527F8">
            <w:pPr>
              <w:spacing w:after="0" w:line="300" w:lineRule="atLeast"/>
              <w:rPr>
                <w:rFonts w:eastAsia="Times New Roman" w:cstheme="minorHAnsi"/>
                <w:b/>
                <w:bCs/>
                <w:kern w:val="36"/>
                <w:lang w:eastAsia="en-GB"/>
              </w:rPr>
            </w:pPr>
            <w:r w:rsidRPr="00873BB5">
              <w:rPr>
                <w:rFonts w:eastAsia="Times New Roman" w:cstheme="minorHAnsi"/>
                <w:b/>
                <w:bCs/>
                <w:kern w:val="36"/>
                <w:lang w:eastAsia="en-GB"/>
              </w:rPr>
              <w:lastRenderedPageBreak/>
              <w:t>KA6 – Health Protection</w:t>
            </w:r>
          </w:p>
          <w:p w14:paraId="6DA3822D" w14:textId="25423004" w:rsidR="00105EF9" w:rsidRPr="00873BB5" w:rsidRDefault="00105EF9" w:rsidP="00105EF9">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The project aligns with KA6:</w:t>
            </w:r>
          </w:p>
          <w:p w14:paraId="6B2AA86B" w14:textId="77777777" w:rsidR="006527F8" w:rsidRPr="00873BB5" w:rsidRDefault="006527F8" w:rsidP="006527F8">
            <w:pPr>
              <w:numPr>
                <w:ilvl w:val="0"/>
                <w:numId w:val="35"/>
              </w:num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Understanding lessons from COVID</w:t>
            </w:r>
            <w:r w:rsidRPr="00873BB5">
              <w:rPr>
                <w:rFonts w:eastAsia="Times New Roman" w:cstheme="minorHAnsi"/>
                <w:lang w:eastAsia="en-GB"/>
              </w:rPr>
              <w:noBreakHyphen/>
              <w:t>19 and applying WHO/global frameworks</w:t>
            </w:r>
          </w:p>
          <w:p w14:paraId="5E8BF820" w14:textId="77777777" w:rsidR="006527F8" w:rsidRPr="00873BB5" w:rsidRDefault="006527F8" w:rsidP="006527F8">
            <w:pPr>
              <w:numPr>
                <w:ilvl w:val="0"/>
                <w:numId w:val="35"/>
              </w:num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Contributing to preparedness competencies and standards</w:t>
            </w:r>
            <w:r w:rsidRPr="00873BB5">
              <w:rPr>
                <w:rFonts w:eastAsia="Times New Roman" w:cstheme="minorHAnsi"/>
                <w:lang w:eastAsia="en-GB"/>
              </w:rPr>
              <w:br/>
              <w:t xml:space="preserve">This directly supports KA9 outcomes, especially KA9.2 which must be demonstrated in health protection placements. </w:t>
            </w:r>
          </w:p>
          <w:p w14:paraId="3ABAB9B8"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KA6.1 – Understands the systems, frameworks and agencies responsible for EPRR.</w:t>
            </w:r>
          </w:p>
          <w:p w14:paraId="2873965F"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KA6.2 – Demonstrates competence in risk assessment, threat identification, and incident response.</w:t>
            </w:r>
          </w:p>
          <w:p w14:paraId="755C7BC5"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KA6.8 – Applies learning from incidents, inquiries and global frameworks.</w:t>
            </w:r>
          </w:p>
          <w:p w14:paraId="78053CC8"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KA6.6 - Demonstrate knowledge and understanding of the main stakeholders and agencies at a local, national and international level involved in health protection and their roles and responsibilities, including in emergency preparedness.</w:t>
            </w:r>
          </w:p>
          <w:p w14:paraId="394F6EAB" w14:textId="6CB859D6" w:rsidR="006527F8" w:rsidRPr="00873BB5" w:rsidRDefault="006527F8" w:rsidP="00BB5586">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Why this fits: The project explicitly uses COVID</w:t>
            </w:r>
            <w:r w:rsidRPr="00873BB5">
              <w:rPr>
                <w:rFonts w:ascii="Cambria Math" w:eastAsia="Times New Roman" w:hAnsi="Cambria Math" w:cs="Cambria Math"/>
                <w:lang w:eastAsia="en-GB"/>
              </w:rPr>
              <w:t>‑</w:t>
            </w:r>
            <w:r w:rsidRPr="00873BB5">
              <w:rPr>
                <w:rFonts w:eastAsia="Times New Roman" w:cstheme="minorHAnsi"/>
                <w:lang w:eastAsia="en-GB"/>
              </w:rPr>
              <w:t>19 inquiry findings, WHO frameworks, and supports development of preparedness standards.</w:t>
            </w:r>
          </w:p>
          <w:p w14:paraId="375564DF" w14:textId="5D5AE3CC" w:rsidR="006527F8" w:rsidRPr="00873BB5" w:rsidRDefault="006527F8" w:rsidP="006527F8">
            <w:pPr>
              <w:spacing w:after="0" w:line="300" w:lineRule="atLeast"/>
              <w:rPr>
                <w:rFonts w:eastAsia="Times New Roman" w:cstheme="minorHAnsi"/>
                <w:lang w:eastAsia="en-GB"/>
              </w:rPr>
            </w:pPr>
            <w:r w:rsidRPr="00873BB5">
              <w:rPr>
                <w:rFonts w:eastAsia="Times New Roman" w:cstheme="minorHAnsi"/>
                <w:b/>
                <w:bCs/>
                <w:kern w:val="36"/>
                <w:lang w:eastAsia="en-GB"/>
              </w:rPr>
              <w:t>KA10 – Integration and Application of Competences for Consultant Practice</w:t>
            </w:r>
          </w:p>
          <w:p w14:paraId="620B952D"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 xml:space="preserve">The EPPR project provides </w:t>
            </w:r>
            <w:r w:rsidRPr="00873BB5">
              <w:rPr>
                <w:rFonts w:eastAsia="Times New Roman" w:cstheme="minorHAnsi"/>
                <w:b/>
                <w:bCs/>
                <w:lang w:eastAsia="en-GB"/>
              </w:rPr>
              <w:t>high</w:t>
            </w:r>
            <w:r w:rsidRPr="00873BB5">
              <w:rPr>
                <w:rFonts w:eastAsia="Times New Roman" w:cstheme="minorHAnsi"/>
                <w:b/>
                <w:bCs/>
                <w:lang w:eastAsia="en-GB"/>
              </w:rPr>
              <w:noBreakHyphen/>
              <w:t>quality, senior</w:t>
            </w:r>
            <w:r w:rsidRPr="00873BB5">
              <w:rPr>
                <w:rFonts w:eastAsia="Times New Roman" w:cstheme="minorHAnsi"/>
                <w:b/>
                <w:bCs/>
                <w:lang w:eastAsia="en-GB"/>
              </w:rPr>
              <w:noBreakHyphen/>
              <w:t>level outputs</w:t>
            </w:r>
            <w:r w:rsidRPr="00873BB5">
              <w:rPr>
                <w:rFonts w:eastAsia="Times New Roman" w:cstheme="minorHAnsi"/>
                <w:lang w:eastAsia="en-GB"/>
              </w:rPr>
              <w:t>, aligning with many KA10 outcomes:</w:t>
            </w:r>
          </w:p>
          <w:p w14:paraId="7166DB34"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b/>
                <w:bCs/>
                <w:lang w:eastAsia="en-GB"/>
              </w:rPr>
              <w:t>Public Health Expert (KA10.1–10.4)</w:t>
            </w:r>
          </w:p>
          <w:p w14:paraId="11F43D66" w14:textId="77777777" w:rsidR="006527F8" w:rsidRPr="00873BB5" w:rsidRDefault="006527F8" w:rsidP="006527F8">
            <w:pPr>
              <w:numPr>
                <w:ilvl w:val="0"/>
                <w:numId w:val="36"/>
              </w:num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 xml:space="preserve">Evidence synthesis &amp; analytical reports map to </w:t>
            </w:r>
            <w:r w:rsidRPr="00873BB5">
              <w:rPr>
                <w:rFonts w:eastAsia="Times New Roman" w:cstheme="minorHAnsi"/>
                <w:b/>
                <w:bCs/>
                <w:lang w:eastAsia="en-GB"/>
              </w:rPr>
              <w:t>10.1 &amp; 10.2</w:t>
            </w:r>
          </w:p>
          <w:p w14:paraId="61E42DEC" w14:textId="77777777" w:rsidR="006527F8" w:rsidRPr="00873BB5" w:rsidRDefault="006527F8" w:rsidP="006527F8">
            <w:pPr>
              <w:numPr>
                <w:ilvl w:val="0"/>
                <w:numId w:val="36"/>
              </w:num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Using evaluative and evidence</w:t>
            </w:r>
            <w:r w:rsidRPr="00873BB5">
              <w:rPr>
                <w:rFonts w:eastAsia="Times New Roman" w:cstheme="minorHAnsi"/>
                <w:lang w:eastAsia="en-GB"/>
              </w:rPr>
              <w:noBreakHyphen/>
              <w:t xml:space="preserve">based approaches maps to </w:t>
            </w:r>
            <w:r w:rsidRPr="00873BB5">
              <w:rPr>
                <w:rFonts w:eastAsia="Times New Roman" w:cstheme="minorHAnsi"/>
                <w:b/>
                <w:bCs/>
                <w:lang w:eastAsia="en-GB"/>
              </w:rPr>
              <w:t>10.3</w:t>
            </w:r>
          </w:p>
          <w:p w14:paraId="09C29599" w14:textId="77777777" w:rsidR="006527F8" w:rsidRPr="00873BB5" w:rsidRDefault="006527F8" w:rsidP="006527F8">
            <w:pPr>
              <w:numPr>
                <w:ilvl w:val="0"/>
                <w:numId w:val="36"/>
              </w:num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 xml:space="preserve">Drafting FPH guidance/briefings maps to </w:t>
            </w:r>
            <w:r w:rsidRPr="00873BB5">
              <w:rPr>
                <w:rFonts w:eastAsia="Times New Roman" w:cstheme="minorHAnsi"/>
                <w:b/>
                <w:bCs/>
                <w:lang w:eastAsia="en-GB"/>
              </w:rPr>
              <w:t>10.4</w:t>
            </w:r>
          </w:p>
          <w:p w14:paraId="08F1C06A"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10.1 – Selects and uses advanced public health knowledge and skills appropriately for different tasks to deliver timely results.</w:t>
            </w:r>
          </w:p>
          <w:p w14:paraId="3D6F4DF7"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 xml:space="preserve">10.2 – Produces, integrates and interprets complex evidence from multiple sources with scientific rigour and judgement. Uses </w:t>
            </w:r>
            <w:r w:rsidRPr="00873BB5">
              <w:rPr>
                <w:rFonts w:eastAsia="Times New Roman" w:cstheme="minorHAnsi"/>
                <w:lang w:eastAsia="en-GB"/>
              </w:rPr>
              <w:lastRenderedPageBreak/>
              <w:t>academic rigour appropriately to give independent public health advice.</w:t>
            </w:r>
          </w:p>
          <w:p w14:paraId="720EE40E"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10.3 – Promotes and uses an evidence</w:t>
            </w:r>
            <w:r w:rsidRPr="00873BB5">
              <w:rPr>
                <w:rFonts w:ascii="Cambria Math" w:eastAsia="Times New Roman" w:hAnsi="Cambria Math" w:cs="Cambria Math"/>
                <w:lang w:eastAsia="en-GB"/>
              </w:rPr>
              <w:t>‑</w:t>
            </w:r>
            <w:r w:rsidRPr="00873BB5">
              <w:rPr>
                <w:rFonts w:eastAsia="Times New Roman" w:cstheme="minorHAnsi"/>
                <w:lang w:eastAsia="en-GB"/>
              </w:rPr>
              <w:t>based and evaluative approach to scope public health problems and deliver solutions.</w:t>
            </w:r>
          </w:p>
          <w:p w14:paraId="404FD96F"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 xml:space="preserve">EPPR </w:t>
            </w:r>
            <w:proofErr w:type="gramStart"/>
            <w:r w:rsidRPr="00873BB5">
              <w:rPr>
                <w:rFonts w:eastAsia="Times New Roman" w:cstheme="minorHAnsi"/>
                <w:lang w:eastAsia="en-GB"/>
              </w:rPr>
              <w:t>fit:</w:t>
            </w:r>
            <w:proofErr w:type="gramEnd"/>
            <w:r w:rsidRPr="00873BB5">
              <w:rPr>
                <w:rFonts w:eastAsia="Times New Roman" w:cstheme="minorHAnsi"/>
                <w:lang w:eastAsia="en-GB"/>
              </w:rPr>
              <w:t xml:space="preserve"> evidence reviews, briefings, strategic advice, position statements.</w:t>
            </w:r>
          </w:p>
          <w:p w14:paraId="525543FA"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b/>
                <w:bCs/>
                <w:lang w:eastAsia="en-GB"/>
              </w:rPr>
              <w:t>Personal Effectiveness &amp; Impact (KA10.5–10.8)</w:t>
            </w:r>
          </w:p>
          <w:p w14:paraId="2C1DA0B1" w14:textId="77777777" w:rsidR="006527F8" w:rsidRPr="00873BB5" w:rsidRDefault="006527F8" w:rsidP="006527F8">
            <w:pPr>
              <w:numPr>
                <w:ilvl w:val="0"/>
                <w:numId w:val="37"/>
              </w:num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Providing senior</w:t>
            </w:r>
            <w:r w:rsidRPr="00873BB5">
              <w:rPr>
                <w:rFonts w:eastAsia="Times New Roman" w:cstheme="minorHAnsi"/>
                <w:lang w:eastAsia="en-GB"/>
              </w:rPr>
              <w:noBreakHyphen/>
              <w:t xml:space="preserve">level advice within FPH and UK networks aligns to </w:t>
            </w:r>
            <w:r w:rsidRPr="00873BB5">
              <w:rPr>
                <w:rFonts w:eastAsia="Times New Roman" w:cstheme="minorHAnsi"/>
                <w:b/>
                <w:bCs/>
                <w:lang w:eastAsia="en-GB"/>
              </w:rPr>
              <w:t>10.5</w:t>
            </w:r>
          </w:p>
          <w:p w14:paraId="07AA7C19" w14:textId="77777777" w:rsidR="006527F8" w:rsidRPr="00873BB5" w:rsidRDefault="006527F8" w:rsidP="006527F8">
            <w:pPr>
              <w:numPr>
                <w:ilvl w:val="0"/>
                <w:numId w:val="37"/>
              </w:num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High</w:t>
            </w:r>
            <w:r w:rsidRPr="00873BB5">
              <w:rPr>
                <w:rFonts w:eastAsia="Times New Roman" w:cstheme="minorHAnsi"/>
                <w:lang w:eastAsia="en-GB"/>
              </w:rPr>
              <w:noBreakHyphen/>
              <w:t xml:space="preserve">level communication &amp; influencing aligns to </w:t>
            </w:r>
            <w:r w:rsidRPr="00873BB5">
              <w:rPr>
                <w:rFonts w:eastAsia="Times New Roman" w:cstheme="minorHAnsi"/>
                <w:b/>
                <w:bCs/>
                <w:lang w:eastAsia="en-GB"/>
              </w:rPr>
              <w:t>10.6 &amp; 10.7</w:t>
            </w:r>
          </w:p>
          <w:p w14:paraId="32677DBC" w14:textId="77777777" w:rsidR="006527F8" w:rsidRPr="00873BB5" w:rsidRDefault="006527F8" w:rsidP="006527F8">
            <w:pPr>
              <w:numPr>
                <w:ilvl w:val="0"/>
                <w:numId w:val="37"/>
              </w:num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 xml:space="preserve">Operating in leadership roles in national strategic work aligns to </w:t>
            </w:r>
            <w:r w:rsidRPr="00873BB5">
              <w:rPr>
                <w:rFonts w:eastAsia="Times New Roman" w:cstheme="minorHAnsi"/>
                <w:b/>
                <w:bCs/>
                <w:lang w:eastAsia="en-GB"/>
              </w:rPr>
              <w:t>10.8</w:t>
            </w:r>
          </w:p>
          <w:p w14:paraId="474F670B"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10.5 – Provides advanced public health expertise at senior organisational level, including partner organisations.</w:t>
            </w:r>
          </w:p>
          <w:p w14:paraId="4C30F15A"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10.6 – Uses high</w:t>
            </w:r>
            <w:r w:rsidRPr="00873BB5">
              <w:rPr>
                <w:rFonts w:ascii="Cambria Math" w:eastAsia="Times New Roman" w:hAnsi="Cambria Math" w:cs="Cambria Math"/>
                <w:lang w:eastAsia="en-GB"/>
              </w:rPr>
              <w:t>‑</w:t>
            </w:r>
            <w:r w:rsidRPr="00873BB5">
              <w:rPr>
                <w:rFonts w:eastAsia="Times New Roman" w:cstheme="minorHAnsi"/>
                <w:lang w:eastAsia="en-GB"/>
              </w:rPr>
              <w:t>order literacy and communication skills to promote understanding of population health.</w:t>
            </w:r>
          </w:p>
          <w:p w14:paraId="0CA7FA2B"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10.7 – Influences and negotiates successfully at senior levels to achieve PH action.</w:t>
            </w:r>
          </w:p>
          <w:p w14:paraId="2334E963"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10.8 – Operates as a leader at senior organisational level; supports colleagues and teams.</w:t>
            </w:r>
          </w:p>
          <w:p w14:paraId="3FEA436C"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 xml:space="preserve">EPPR </w:t>
            </w:r>
            <w:proofErr w:type="gramStart"/>
            <w:r w:rsidRPr="00873BB5">
              <w:rPr>
                <w:rFonts w:eastAsia="Times New Roman" w:cstheme="minorHAnsi"/>
                <w:lang w:eastAsia="en-GB"/>
              </w:rPr>
              <w:t>fit:</w:t>
            </w:r>
            <w:proofErr w:type="gramEnd"/>
            <w:r w:rsidRPr="00873BB5">
              <w:rPr>
                <w:rFonts w:eastAsia="Times New Roman" w:cstheme="minorHAnsi"/>
                <w:lang w:eastAsia="en-GB"/>
              </w:rPr>
              <w:t xml:space="preserve"> working with national leaders, shaping multi</w:t>
            </w:r>
            <w:r w:rsidRPr="00873BB5">
              <w:rPr>
                <w:rFonts w:ascii="Cambria Math" w:eastAsia="Times New Roman" w:hAnsi="Cambria Math" w:cs="Cambria Math"/>
                <w:lang w:eastAsia="en-GB"/>
              </w:rPr>
              <w:t>‑</w:t>
            </w:r>
            <w:r w:rsidRPr="00873BB5">
              <w:rPr>
                <w:rFonts w:eastAsia="Times New Roman" w:cstheme="minorHAnsi"/>
                <w:lang w:eastAsia="en-GB"/>
              </w:rPr>
              <w:t>agency work, producing senior</w:t>
            </w:r>
            <w:r w:rsidRPr="00873BB5">
              <w:rPr>
                <w:rFonts w:ascii="Cambria Math" w:eastAsia="Times New Roman" w:hAnsi="Cambria Math" w:cs="Cambria Math"/>
                <w:lang w:eastAsia="en-GB"/>
              </w:rPr>
              <w:t>‑</w:t>
            </w:r>
            <w:r w:rsidRPr="00873BB5">
              <w:rPr>
                <w:rFonts w:eastAsia="Times New Roman" w:cstheme="minorHAnsi"/>
                <w:lang w:eastAsia="en-GB"/>
              </w:rPr>
              <w:t>level outputs.</w:t>
            </w:r>
          </w:p>
          <w:p w14:paraId="19295284"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b/>
                <w:bCs/>
                <w:lang w:eastAsia="en-GB"/>
              </w:rPr>
              <w:t>Commitment to Public Health Values (KA10.9–10.11)</w:t>
            </w:r>
          </w:p>
          <w:p w14:paraId="614F41FB" w14:textId="77777777" w:rsidR="006527F8" w:rsidRPr="00873BB5" w:rsidRDefault="006527F8" w:rsidP="006527F8">
            <w:pPr>
              <w:numPr>
                <w:ilvl w:val="0"/>
                <w:numId w:val="38"/>
              </w:num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 xml:space="preserve">Taking proactive steps to strengthen UK preparedness aligns to </w:t>
            </w:r>
            <w:r w:rsidRPr="00873BB5">
              <w:rPr>
                <w:rFonts w:eastAsia="Times New Roman" w:cstheme="minorHAnsi"/>
                <w:b/>
                <w:bCs/>
                <w:lang w:eastAsia="en-GB"/>
              </w:rPr>
              <w:t>10.9</w:t>
            </w:r>
          </w:p>
          <w:p w14:paraId="38A32495" w14:textId="77777777" w:rsidR="006527F8" w:rsidRPr="00873BB5" w:rsidRDefault="006527F8" w:rsidP="006527F8">
            <w:pPr>
              <w:numPr>
                <w:ilvl w:val="0"/>
                <w:numId w:val="38"/>
              </w:num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 xml:space="preserve">Embedding PH values in national strategic recommendations aligns to </w:t>
            </w:r>
            <w:r w:rsidRPr="00873BB5">
              <w:rPr>
                <w:rFonts w:eastAsia="Times New Roman" w:cstheme="minorHAnsi"/>
                <w:b/>
                <w:bCs/>
                <w:lang w:eastAsia="en-GB"/>
              </w:rPr>
              <w:t>10.10</w:t>
            </w:r>
          </w:p>
          <w:p w14:paraId="65BF3F45" w14:textId="77777777" w:rsidR="006527F8" w:rsidRPr="00873BB5" w:rsidRDefault="006527F8" w:rsidP="006527F8">
            <w:pPr>
              <w:numPr>
                <w:ilvl w:val="0"/>
                <w:numId w:val="38"/>
              </w:num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Working through uncertainty &amp; complex multi</w:t>
            </w:r>
            <w:r w:rsidRPr="00873BB5">
              <w:rPr>
                <w:rFonts w:eastAsia="Times New Roman" w:cstheme="minorHAnsi"/>
                <w:lang w:eastAsia="en-GB"/>
              </w:rPr>
              <w:noBreakHyphen/>
              <w:t xml:space="preserve">agency contexts aligns to </w:t>
            </w:r>
            <w:r w:rsidRPr="00873BB5">
              <w:rPr>
                <w:rFonts w:eastAsia="Times New Roman" w:cstheme="minorHAnsi"/>
                <w:b/>
                <w:bCs/>
                <w:lang w:eastAsia="en-GB"/>
              </w:rPr>
              <w:t>10.11</w:t>
            </w:r>
          </w:p>
          <w:p w14:paraId="74EB1D6B"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10.9 – Proactively identifies opportunities to improve population health and influence organisational programmes.</w:t>
            </w:r>
          </w:p>
          <w:p w14:paraId="7AD48C87"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10.10 – Uses and promotes core public health values.</w:t>
            </w:r>
          </w:p>
          <w:p w14:paraId="471FFE38" w14:textId="77777777" w:rsidR="006527F8" w:rsidRPr="00873BB5" w:rsidRDefault="006527F8" w:rsidP="006527F8">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t>10.11 – Works flexibly and perseveres through uncertainty, complexity, and conflict to achieve outcomes.</w:t>
            </w:r>
          </w:p>
          <w:p w14:paraId="3AD816EC" w14:textId="0D0FC514" w:rsidR="007A45BE" w:rsidRPr="00873BB5" w:rsidRDefault="006527F8" w:rsidP="00BB5586">
            <w:pPr>
              <w:spacing w:before="100" w:beforeAutospacing="1" w:after="100" w:afterAutospacing="1" w:line="300" w:lineRule="atLeast"/>
              <w:rPr>
                <w:rFonts w:eastAsia="Times New Roman" w:cstheme="minorHAnsi"/>
                <w:lang w:eastAsia="en-GB"/>
              </w:rPr>
            </w:pPr>
            <w:r w:rsidRPr="00873BB5">
              <w:rPr>
                <w:rFonts w:eastAsia="Times New Roman" w:cstheme="minorHAnsi"/>
                <w:lang w:eastAsia="en-GB"/>
              </w:rPr>
              <w:lastRenderedPageBreak/>
              <w:t xml:space="preserve">EPPR </w:t>
            </w:r>
            <w:proofErr w:type="gramStart"/>
            <w:r w:rsidRPr="00873BB5">
              <w:rPr>
                <w:rFonts w:eastAsia="Times New Roman" w:cstheme="minorHAnsi"/>
                <w:lang w:eastAsia="en-GB"/>
              </w:rPr>
              <w:t>fit:</w:t>
            </w:r>
            <w:proofErr w:type="gramEnd"/>
            <w:r w:rsidRPr="00873BB5">
              <w:rPr>
                <w:rFonts w:eastAsia="Times New Roman" w:cstheme="minorHAnsi"/>
                <w:lang w:eastAsia="en-GB"/>
              </w:rPr>
              <w:t xml:space="preserve"> strategic preparedness work, ethical reasoning, equity and trust themes.</w:t>
            </w:r>
          </w:p>
        </w:tc>
      </w:tr>
      <w:tr w:rsidR="007A45BE" w:rsidRPr="00873BB5" w14:paraId="5D33D5C1" w14:textId="77777777" w:rsidTr="00BB5586">
        <w:trPr>
          <w:trHeight w:val="297"/>
        </w:trPr>
        <w:tc>
          <w:tcPr>
            <w:tcW w:w="3828" w:type="dxa"/>
          </w:tcPr>
          <w:p w14:paraId="4A113611" w14:textId="77777777" w:rsidR="007A45BE" w:rsidRPr="00873BB5" w:rsidRDefault="007A45BE" w:rsidP="007A45BE">
            <w:pPr>
              <w:spacing w:after="0" w:line="240" w:lineRule="auto"/>
              <w:rPr>
                <w:rFonts w:eastAsia="Times New Roman" w:cstheme="minorHAnsi"/>
                <w:b/>
                <w:bCs/>
              </w:rPr>
            </w:pPr>
            <w:r w:rsidRPr="00873BB5">
              <w:rPr>
                <w:rFonts w:eastAsia="Times New Roman" w:cstheme="minorHAnsi"/>
                <w:b/>
                <w:bCs/>
              </w:rPr>
              <w:lastRenderedPageBreak/>
              <w:t>Start and end date of project (project duration)</w:t>
            </w:r>
          </w:p>
        </w:tc>
        <w:tc>
          <w:tcPr>
            <w:tcW w:w="5953" w:type="dxa"/>
          </w:tcPr>
          <w:p w14:paraId="1153F6E8" w14:textId="0F28002C" w:rsidR="007A45BE" w:rsidRPr="00873BB5" w:rsidRDefault="00793243" w:rsidP="007A45BE">
            <w:pPr>
              <w:rPr>
                <w:rFonts w:cstheme="minorHAnsi"/>
              </w:rPr>
            </w:pPr>
            <w:r w:rsidRPr="00873BB5">
              <w:rPr>
                <w:rFonts w:cstheme="minorHAnsi"/>
              </w:rPr>
              <w:t>TBC – as soon as practically possible</w:t>
            </w:r>
          </w:p>
        </w:tc>
      </w:tr>
      <w:tr w:rsidR="007A45BE" w:rsidRPr="00873BB5" w14:paraId="6E15F863" w14:textId="77777777" w:rsidTr="00BB5586">
        <w:trPr>
          <w:trHeight w:val="379"/>
        </w:trPr>
        <w:tc>
          <w:tcPr>
            <w:tcW w:w="3828" w:type="dxa"/>
          </w:tcPr>
          <w:p w14:paraId="289C4526" w14:textId="77777777" w:rsidR="007A45BE" w:rsidRPr="00873BB5" w:rsidRDefault="007A45BE" w:rsidP="007A45BE">
            <w:pPr>
              <w:spacing w:after="0" w:line="240" w:lineRule="auto"/>
              <w:rPr>
                <w:rFonts w:eastAsia="Times New Roman" w:cstheme="minorHAnsi"/>
                <w:b/>
                <w:bCs/>
              </w:rPr>
            </w:pPr>
            <w:r w:rsidRPr="00873BB5">
              <w:rPr>
                <w:rFonts w:eastAsia="Times New Roman" w:cstheme="minorHAnsi"/>
                <w:b/>
                <w:bCs/>
              </w:rPr>
              <w:t>Time requirement for the Registrar on the project (days per week)</w:t>
            </w:r>
          </w:p>
        </w:tc>
        <w:tc>
          <w:tcPr>
            <w:tcW w:w="5953" w:type="dxa"/>
          </w:tcPr>
          <w:p w14:paraId="0E159C33" w14:textId="07B460D6" w:rsidR="007A45BE" w:rsidRPr="00873BB5" w:rsidRDefault="00793243" w:rsidP="007A45BE">
            <w:pPr>
              <w:rPr>
                <w:rFonts w:cstheme="minorHAnsi"/>
              </w:rPr>
            </w:pPr>
            <w:r w:rsidRPr="00873BB5">
              <w:rPr>
                <w:rFonts w:cstheme="minorHAnsi"/>
              </w:rPr>
              <w:t>1 -2 days a week</w:t>
            </w:r>
          </w:p>
        </w:tc>
      </w:tr>
      <w:tr w:rsidR="007A45BE" w:rsidRPr="00873BB5" w14:paraId="095D6811" w14:textId="77777777" w:rsidTr="00BB5586">
        <w:trPr>
          <w:trHeight w:val="353"/>
        </w:trPr>
        <w:tc>
          <w:tcPr>
            <w:tcW w:w="3828" w:type="dxa"/>
          </w:tcPr>
          <w:p w14:paraId="5BE6E014" w14:textId="77777777" w:rsidR="007A45BE" w:rsidRPr="00873BB5" w:rsidRDefault="007A45BE" w:rsidP="007A45BE">
            <w:pPr>
              <w:spacing w:after="0" w:line="240" w:lineRule="auto"/>
              <w:rPr>
                <w:rFonts w:eastAsia="Times New Roman" w:cstheme="minorHAnsi"/>
                <w:b/>
                <w:bCs/>
              </w:rPr>
            </w:pPr>
            <w:r w:rsidRPr="00873BB5">
              <w:rPr>
                <w:rFonts w:eastAsia="Times New Roman" w:cstheme="minorHAnsi"/>
                <w:b/>
                <w:bCs/>
              </w:rPr>
              <w:t xml:space="preserve">How many Registrar places are available on this project? </w:t>
            </w:r>
          </w:p>
        </w:tc>
        <w:tc>
          <w:tcPr>
            <w:tcW w:w="5953" w:type="dxa"/>
          </w:tcPr>
          <w:p w14:paraId="432F51AE" w14:textId="2DF3B2A2" w:rsidR="007A45BE" w:rsidRPr="00873BB5" w:rsidRDefault="00793243" w:rsidP="007A45BE">
            <w:pPr>
              <w:rPr>
                <w:rFonts w:cstheme="minorHAnsi"/>
              </w:rPr>
            </w:pPr>
            <w:r w:rsidRPr="00873BB5">
              <w:rPr>
                <w:rFonts w:cstheme="minorHAnsi"/>
              </w:rPr>
              <w:t>1</w:t>
            </w:r>
          </w:p>
        </w:tc>
      </w:tr>
      <w:tr w:rsidR="007A45BE" w:rsidRPr="00873BB5" w14:paraId="30CFBBC6" w14:textId="77777777" w:rsidTr="00BB5586">
        <w:trPr>
          <w:trHeight w:val="316"/>
        </w:trPr>
        <w:tc>
          <w:tcPr>
            <w:tcW w:w="3828" w:type="dxa"/>
          </w:tcPr>
          <w:p w14:paraId="5F6DFE35" w14:textId="77777777" w:rsidR="007A45BE" w:rsidRPr="00873BB5" w:rsidRDefault="007A45BE" w:rsidP="007A45BE">
            <w:pPr>
              <w:spacing w:after="0" w:line="240" w:lineRule="auto"/>
              <w:rPr>
                <w:rFonts w:eastAsia="Times New Roman" w:cstheme="minorHAnsi"/>
                <w:b/>
                <w:bCs/>
              </w:rPr>
            </w:pPr>
            <w:r w:rsidRPr="00873BB5">
              <w:rPr>
                <w:rFonts w:eastAsia="Times New Roman" w:cstheme="minorHAnsi"/>
                <w:b/>
                <w:bCs/>
              </w:rPr>
              <w:t>Location of Project Lead</w:t>
            </w:r>
          </w:p>
        </w:tc>
        <w:tc>
          <w:tcPr>
            <w:tcW w:w="5953" w:type="dxa"/>
          </w:tcPr>
          <w:p w14:paraId="19BE33A3" w14:textId="0F941E13" w:rsidR="007A45BE" w:rsidRPr="00873BB5" w:rsidRDefault="00793243" w:rsidP="007A45BE">
            <w:pPr>
              <w:spacing w:after="0" w:line="240" w:lineRule="auto"/>
              <w:rPr>
                <w:rFonts w:eastAsia="Times New Roman" w:cstheme="minorHAnsi"/>
                <w:lang w:eastAsia="en-GB"/>
              </w:rPr>
            </w:pPr>
            <w:r w:rsidRPr="00873BB5">
              <w:rPr>
                <w:rFonts w:eastAsia="Times New Roman" w:cstheme="minorHAnsi"/>
                <w:lang w:eastAsia="en-GB"/>
              </w:rPr>
              <w:t xml:space="preserve">Faculty of Public Health </w:t>
            </w:r>
            <w:r w:rsidR="006857DE" w:rsidRPr="00873BB5">
              <w:rPr>
                <w:rFonts w:eastAsia="Times New Roman" w:cstheme="minorHAnsi"/>
                <w:lang w:eastAsia="en-GB"/>
              </w:rPr>
              <w:t>office (London)</w:t>
            </w:r>
            <w:r w:rsidRPr="00873BB5">
              <w:rPr>
                <w:rFonts w:eastAsia="Times New Roman" w:cstheme="minorHAnsi"/>
                <w:lang w:eastAsia="en-GB"/>
              </w:rPr>
              <w:t xml:space="preserve"> /</w:t>
            </w:r>
            <w:r w:rsidR="00D231A3" w:rsidRPr="00873BB5">
              <w:rPr>
                <w:rFonts w:eastAsia="Times New Roman" w:cstheme="minorHAnsi"/>
                <w:lang w:eastAsia="en-GB"/>
              </w:rPr>
              <w:t xml:space="preserve"> </w:t>
            </w:r>
            <w:r w:rsidRPr="00873BB5">
              <w:rPr>
                <w:rFonts w:eastAsia="Times New Roman" w:cstheme="minorHAnsi"/>
                <w:lang w:eastAsia="en-GB"/>
              </w:rPr>
              <w:t>Wales</w:t>
            </w:r>
            <w:r w:rsidR="00D231A3" w:rsidRPr="00873BB5">
              <w:rPr>
                <w:rFonts w:eastAsia="Times New Roman" w:cstheme="minorHAnsi"/>
                <w:lang w:eastAsia="en-GB"/>
              </w:rPr>
              <w:t xml:space="preserve"> </w:t>
            </w:r>
            <w:r w:rsidRPr="00873BB5">
              <w:rPr>
                <w:rFonts w:eastAsia="Times New Roman" w:cstheme="minorHAnsi"/>
                <w:lang w:eastAsia="en-GB"/>
              </w:rPr>
              <w:t xml:space="preserve">/ </w:t>
            </w:r>
            <w:r w:rsidR="00D231A3" w:rsidRPr="00873BB5">
              <w:rPr>
                <w:rFonts w:eastAsia="Times New Roman" w:cstheme="minorHAnsi"/>
                <w:lang w:eastAsia="en-GB"/>
              </w:rPr>
              <w:t>r</w:t>
            </w:r>
            <w:r w:rsidRPr="00873BB5">
              <w:rPr>
                <w:rFonts w:eastAsia="Times New Roman" w:cstheme="minorHAnsi"/>
                <w:lang w:eastAsia="en-GB"/>
              </w:rPr>
              <w:t>emote</w:t>
            </w:r>
          </w:p>
        </w:tc>
      </w:tr>
      <w:tr w:rsidR="007A45BE" w:rsidRPr="00873BB5" w14:paraId="7C04C065" w14:textId="77777777" w:rsidTr="00BB5586">
        <w:trPr>
          <w:trHeight w:val="444"/>
        </w:trPr>
        <w:tc>
          <w:tcPr>
            <w:tcW w:w="3828" w:type="dxa"/>
            <w:tcBorders>
              <w:bottom w:val="nil"/>
            </w:tcBorders>
          </w:tcPr>
          <w:p w14:paraId="2C636051" w14:textId="77777777" w:rsidR="007A45BE" w:rsidRPr="00873BB5" w:rsidRDefault="007A45BE" w:rsidP="007A45BE">
            <w:pPr>
              <w:spacing w:after="0" w:line="240" w:lineRule="auto"/>
              <w:rPr>
                <w:rFonts w:eastAsia="Times New Roman" w:cstheme="minorHAnsi"/>
                <w:b/>
                <w:bCs/>
              </w:rPr>
            </w:pPr>
            <w:r w:rsidRPr="00873BB5">
              <w:rPr>
                <w:rFonts w:eastAsia="Times New Roman" w:cstheme="minorHAnsi"/>
                <w:b/>
                <w:bCs/>
              </w:rPr>
              <w:t>Details of the approved Project Supervisor (please include email)</w:t>
            </w:r>
          </w:p>
        </w:tc>
        <w:tc>
          <w:tcPr>
            <w:tcW w:w="5953" w:type="dxa"/>
            <w:tcBorders>
              <w:bottom w:val="nil"/>
            </w:tcBorders>
          </w:tcPr>
          <w:p w14:paraId="7B72BE8A" w14:textId="3BF7AE75" w:rsidR="00793243" w:rsidRPr="00873BB5" w:rsidDel="001F65E6" w:rsidRDefault="00793243" w:rsidP="00CF5A82">
            <w:pPr>
              <w:rPr>
                <w:rFonts w:cstheme="minorHAnsi"/>
                <w:lang w:val="en-US"/>
              </w:rPr>
            </w:pPr>
            <w:r w:rsidRPr="00873BB5">
              <w:rPr>
                <w:rFonts w:cstheme="minorHAnsi"/>
                <w:lang w:val="en-US"/>
              </w:rPr>
              <w:t>Tracy Daszkiewicz</w:t>
            </w:r>
            <w:r w:rsidR="00CF5A82" w:rsidRPr="00873BB5">
              <w:rPr>
                <w:rFonts w:cstheme="minorHAnsi"/>
                <w:lang w:val="en-US"/>
              </w:rPr>
              <w:t xml:space="preserve">: </w:t>
            </w:r>
            <w:hyperlink r:id="rId13" w:history="1">
              <w:r w:rsidR="00CF5A82" w:rsidRPr="00873BB5">
                <w:rPr>
                  <w:rStyle w:val="Hyperlink"/>
                  <w:rFonts w:cstheme="minorHAnsi"/>
                  <w:lang w:val="en-US"/>
                </w:rPr>
                <w:t>president@fph.org.uk</w:t>
              </w:r>
            </w:hyperlink>
            <w:r w:rsidR="00CF5A82" w:rsidRPr="00873BB5">
              <w:rPr>
                <w:rFonts w:cstheme="minorHAnsi"/>
                <w:lang w:val="en-US"/>
              </w:rPr>
              <w:t xml:space="preserve"> </w:t>
            </w:r>
          </w:p>
        </w:tc>
      </w:tr>
      <w:tr w:rsidR="007A45BE" w:rsidRPr="00873BB5" w14:paraId="23E7FF36" w14:textId="77777777" w:rsidTr="00BB5586">
        <w:trPr>
          <w:trHeight w:val="709"/>
        </w:trPr>
        <w:tc>
          <w:tcPr>
            <w:tcW w:w="3828" w:type="dxa"/>
          </w:tcPr>
          <w:p w14:paraId="5D55E417" w14:textId="77777777" w:rsidR="007A45BE" w:rsidRPr="00873BB5" w:rsidRDefault="007A45BE" w:rsidP="007A45BE">
            <w:pPr>
              <w:spacing w:after="0" w:line="240" w:lineRule="auto"/>
              <w:rPr>
                <w:rFonts w:eastAsia="Times New Roman" w:cstheme="minorHAnsi"/>
                <w:b/>
                <w:bCs/>
              </w:rPr>
            </w:pPr>
            <w:r w:rsidRPr="00873BB5">
              <w:rPr>
                <w:rFonts w:eastAsia="Times New Roman" w:cstheme="minorHAnsi"/>
                <w:b/>
                <w:bCs/>
              </w:rPr>
              <w:t xml:space="preserve">Will there be accommodation/travel costs associated with this project? If </w:t>
            </w:r>
            <w:proofErr w:type="gramStart"/>
            <w:r w:rsidRPr="00873BB5">
              <w:rPr>
                <w:rFonts w:eastAsia="Times New Roman" w:cstheme="minorHAnsi"/>
                <w:b/>
                <w:bCs/>
              </w:rPr>
              <w:t>so</w:t>
            </w:r>
            <w:proofErr w:type="gramEnd"/>
            <w:r w:rsidRPr="00873BB5">
              <w:rPr>
                <w:rFonts w:eastAsia="Times New Roman" w:cstheme="minorHAnsi"/>
                <w:b/>
                <w:bCs/>
              </w:rPr>
              <w:t xml:space="preserve"> who would be expected to cover this cost?</w:t>
            </w:r>
          </w:p>
        </w:tc>
        <w:tc>
          <w:tcPr>
            <w:tcW w:w="5953" w:type="dxa"/>
          </w:tcPr>
          <w:p w14:paraId="2D0B41CC" w14:textId="74941491" w:rsidR="007A45BE" w:rsidRPr="00873BB5" w:rsidRDefault="00793243" w:rsidP="007A45BE">
            <w:pPr>
              <w:rPr>
                <w:rFonts w:cstheme="minorHAnsi"/>
              </w:rPr>
            </w:pPr>
            <w:r w:rsidRPr="00873BB5">
              <w:rPr>
                <w:rFonts w:cstheme="minorHAnsi"/>
              </w:rPr>
              <w:t>Very little requirement, but where required, these costs will be met by the FPH</w:t>
            </w:r>
          </w:p>
        </w:tc>
      </w:tr>
      <w:tr w:rsidR="007A45BE" w:rsidRPr="00873BB5" w14:paraId="05FAB823" w14:textId="77777777" w:rsidTr="00BB5586">
        <w:trPr>
          <w:trHeight w:val="520"/>
        </w:trPr>
        <w:tc>
          <w:tcPr>
            <w:tcW w:w="3828" w:type="dxa"/>
          </w:tcPr>
          <w:p w14:paraId="163674C4" w14:textId="77777777" w:rsidR="007A45BE" w:rsidRPr="00873BB5" w:rsidRDefault="007A45BE" w:rsidP="007A45BE">
            <w:pPr>
              <w:spacing w:after="0" w:line="240" w:lineRule="auto"/>
              <w:rPr>
                <w:rFonts w:eastAsia="Times New Roman" w:cstheme="minorHAnsi"/>
                <w:b/>
                <w:bCs/>
              </w:rPr>
            </w:pPr>
            <w:r w:rsidRPr="00873BB5">
              <w:rPr>
                <w:rFonts w:eastAsia="Times New Roman" w:cstheme="minorHAnsi"/>
                <w:b/>
                <w:bCs/>
              </w:rPr>
              <w:t>Please describe how the project will work in practice.</w:t>
            </w:r>
          </w:p>
        </w:tc>
        <w:tc>
          <w:tcPr>
            <w:tcW w:w="5953" w:type="dxa"/>
          </w:tcPr>
          <w:p w14:paraId="2B045BA4" w14:textId="77777777" w:rsidR="00793243" w:rsidRPr="00873BB5" w:rsidRDefault="00793243" w:rsidP="00793243">
            <w:pPr>
              <w:spacing w:after="0" w:line="240" w:lineRule="auto"/>
              <w:rPr>
                <w:rFonts w:eastAsia="Times New Roman" w:cstheme="minorHAnsi"/>
                <w:lang w:eastAsia="en-GB"/>
              </w:rPr>
            </w:pPr>
            <w:r w:rsidRPr="00873BB5">
              <w:rPr>
                <w:rFonts w:eastAsia="Times New Roman" w:cstheme="minorHAnsi"/>
                <w:lang w:eastAsia="en-GB"/>
              </w:rPr>
              <w:t>The registrar will:</w:t>
            </w:r>
          </w:p>
          <w:p w14:paraId="613C717A" w14:textId="77777777" w:rsidR="00793243" w:rsidRPr="00873BB5" w:rsidRDefault="00793243" w:rsidP="00793243">
            <w:pPr>
              <w:numPr>
                <w:ilvl w:val="0"/>
                <w:numId w:val="30"/>
              </w:numPr>
              <w:spacing w:after="0" w:line="240" w:lineRule="auto"/>
              <w:rPr>
                <w:rFonts w:eastAsia="Times New Roman" w:cstheme="minorHAnsi"/>
                <w:lang w:eastAsia="en-GB"/>
              </w:rPr>
            </w:pPr>
            <w:r w:rsidRPr="00873BB5">
              <w:rPr>
                <w:rFonts w:eastAsia="Times New Roman" w:cstheme="minorHAnsi"/>
                <w:lang w:eastAsia="en-GB"/>
              </w:rPr>
              <w:t>Participate in regular meetings with the FPH President, the Pandemic Preparedness SIG, and project supervisor</w:t>
            </w:r>
          </w:p>
          <w:p w14:paraId="66DA396C" w14:textId="77777777" w:rsidR="00793243" w:rsidRPr="00873BB5" w:rsidRDefault="00793243" w:rsidP="00793243">
            <w:pPr>
              <w:numPr>
                <w:ilvl w:val="0"/>
                <w:numId w:val="30"/>
              </w:numPr>
              <w:spacing w:after="0" w:line="240" w:lineRule="auto"/>
              <w:rPr>
                <w:rFonts w:eastAsia="Times New Roman" w:cstheme="minorHAnsi"/>
                <w:lang w:eastAsia="en-GB"/>
              </w:rPr>
            </w:pPr>
            <w:r w:rsidRPr="00873BB5">
              <w:rPr>
                <w:rFonts w:eastAsia="Times New Roman" w:cstheme="minorHAnsi"/>
                <w:lang w:eastAsia="en-GB"/>
              </w:rPr>
              <w:t>Assist in the analysis of evidence across key themes including early action, governance, equity, trust, health system resilience, climate</w:t>
            </w:r>
            <w:r w:rsidRPr="00873BB5">
              <w:rPr>
                <w:rFonts w:eastAsia="Times New Roman" w:cstheme="minorHAnsi"/>
                <w:lang w:eastAsia="en-GB"/>
              </w:rPr>
              <w:noBreakHyphen/>
              <w:t>related risks and community preparedness</w:t>
            </w:r>
          </w:p>
          <w:p w14:paraId="5CD9D7D9" w14:textId="77777777" w:rsidR="00793243" w:rsidRPr="00873BB5" w:rsidRDefault="00793243" w:rsidP="00793243">
            <w:pPr>
              <w:numPr>
                <w:ilvl w:val="0"/>
                <w:numId w:val="30"/>
              </w:numPr>
              <w:spacing w:after="0" w:line="240" w:lineRule="auto"/>
              <w:rPr>
                <w:rFonts w:eastAsia="Times New Roman" w:cstheme="minorHAnsi"/>
                <w:lang w:eastAsia="en-GB"/>
              </w:rPr>
            </w:pPr>
            <w:r w:rsidRPr="00873BB5">
              <w:rPr>
                <w:rFonts w:eastAsia="Times New Roman" w:cstheme="minorHAnsi"/>
                <w:lang w:eastAsia="en-GB"/>
              </w:rPr>
              <w:t xml:space="preserve">Support the development of outputs such as: </w:t>
            </w:r>
          </w:p>
          <w:p w14:paraId="2C3A8416" w14:textId="77777777" w:rsidR="00793243" w:rsidRPr="00873BB5" w:rsidRDefault="00793243" w:rsidP="00793243">
            <w:pPr>
              <w:numPr>
                <w:ilvl w:val="1"/>
                <w:numId w:val="30"/>
              </w:numPr>
              <w:spacing w:after="0" w:line="240" w:lineRule="auto"/>
              <w:rPr>
                <w:rFonts w:eastAsia="Times New Roman" w:cstheme="minorHAnsi"/>
                <w:lang w:eastAsia="en-GB"/>
              </w:rPr>
            </w:pPr>
            <w:r w:rsidRPr="00873BB5">
              <w:rPr>
                <w:rFonts w:eastAsia="Times New Roman" w:cstheme="minorHAnsi"/>
                <w:lang w:eastAsia="en-GB"/>
              </w:rPr>
              <w:t>briefing papers</w:t>
            </w:r>
          </w:p>
          <w:p w14:paraId="5BEA1B2E" w14:textId="77777777" w:rsidR="00793243" w:rsidRPr="00873BB5" w:rsidRDefault="00793243" w:rsidP="00793243">
            <w:pPr>
              <w:numPr>
                <w:ilvl w:val="1"/>
                <w:numId w:val="30"/>
              </w:numPr>
              <w:spacing w:after="0" w:line="240" w:lineRule="auto"/>
              <w:rPr>
                <w:rFonts w:eastAsia="Times New Roman" w:cstheme="minorHAnsi"/>
                <w:lang w:eastAsia="en-GB"/>
              </w:rPr>
            </w:pPr>
            <w:r w:rsidRPr="00873BB5">
              <w:rPr>
                <w:rFonts w:eastAsia="Times New Roman" w:cstheme="minorHAnsi"/>
                <w:lang w:eastAsia="en-GB"/>
              </w:rPr>
              <w:t>competency frameworks</w:t>
            </w:r>
          </w:p>
          <w:p w14:paraId="3F218FB9" w14:textId="77777777" w:rsidR="00793243" w:rsidRPr="00873BB5" w:rsidRDefault="00793243" w:rsidP="00793243">
            <w:pPr>
              <w:numPr>
                <w:ilvl w:val="1"/>
                <w:numId w:val="30"/>
              </w:numPr>
              <w:spacing w:after="0" w:line="240" w:lineRule="auto"/>
              <w:rPr>
                <w:rFonts w:eastAsia="Times New Roman" w:cstheme="minorHAnsi"/>
                <w:lang w:eastAsia="en-GB"/>
              </w:rPr>
            </w:pPr>
            <w:r w:rsidRPr="00873BB5">
              <w:rPr>
                <w:rFonts w:eastAsia="Times New Roman" w:cstheme="minorHAnsi"/>
                <w:lang w:eastAsia="en-GB"/>
              </w:rPr>
              <w:t>event materials</w:t>
            </w:r>
          </w:p>
          <w:p w14:paraId="05938826" w14:textId="77777777" w:rsidR="00793243" w:rsidRPr="00873BB5" w:rsidRDefault="00793243" w:rsidP="00793243">
            <w:pPr>
              <w:numPr>
                <w:ilvl w:val="1"/>
                <w:numId w:val="30"/>
              </w:numPr>
              <w:spacing w:after="0" w:line="240" w:lineRule="auto"/>
              <w:rPr>
                <w:rFonts w:eastAsia="Times New Roman" w:cstheme="minorHAnsi"/>
                <w:lang w:eastAsia="en-GB"/>
              </w:rPr>
            </w:pPr>
            <w:r w:rsidRPr="00873BB5">
              <w:rPr>
                <w:rFonts w:eastAsia="Times New Roman" w:cstheme="minorHAnsi"/>
                <w:lang w:eastAsia="en-GB"/>
              </w:rPr>
              <w:t>evidence summaries</w:t>
            </w:r>
          </w:p>
          <w:p w14:paraId="07DAC86A" w14:textId="77777777" w:rsidR="00793243" w:rsidRPr="00873BB5" w:rsidRDefault="00793243" w:rsidP="00793243">
            <w:pPr>
              <w:numPr>
                <w:ilvl w:val="0"/>
                <w:numId w:val="30"/>
              </w:numPr>
              <w:spacing w:after="0" w:line="240" w:lineRule="auto"/>
              <w:rPr>
                <w:rFonts w:eastAsia="Times New Roman" w:cstheme="minorHAnsi"/>
                <w:lang w:eastAsia="en-GB"/>
              </w:rPr>
            </w:pPr>
            <w:r w:rsidRPr="00873BB5">
              <w:rPr>
                <w:rFonts w:eastAsia="Times New Roman" w:cstheme="minorHAnsi"/>
                <w:lang w:eastAsia="en-GB"/>
              </w:rPr>
              <w:t>Engage with stakeholders from the four UK nations to gather insights</w:t>
            </w:r>
          </w:p>
          <w:p w14:paraId="6F473D3B" w14:textId="77777777" w:rsidR="00793243" w:rsidRPr="00873BB5" w:rsidRDefault="00793243" w:rsidP="00793243">
            <w:pPr>
              <w:numPr>
                <w:ilvl w:val="0"/>
                <w:numId w:val="30"/>
              </w:numPr>
              <w:spacing w:after="0" w:line="240" w:lineRule="auto"/>
              <w:rPr>
                <w:rFonts w:eastAsia="Times New Roman" w:cstheme="minorHAnsi"/>
                <w:lang w:eastAsia="en-GB"/>
              </w:rPr>
            </w:pPr>
            <w:r w:rsidRPr="00873BB5">
              <w:rPr>
                <w:rFonts w:eastAsia="Times New Roman" w:cstheme="minorHAnsi"/>
                <w:lang w:eastAsia="en-GB"/>
              </w:rPr>
              <w:t>Support the design and facilitation of SIG workshops</w:t>
            </w:r>
          </w:p>
          <w:p w14:paraId="1B04FF84" w14:textId="77777777" w:rsidR="00793243" w:rsidRPr="00873BB5" w:rsidRDefault="00793243" w:rsidP="00793243">
            <w:pPr>
              <w:numPr>
                <w:ilvl w:val="0"/>
                <w:numId w:val="30"/>
              </w:numPr>
              <w:spacing w:after="0" w:line="240" w:lineRule="auto"/>
              <w:rPr>
                <w:rFonts w:eastAsia="Times New Roman" w:cstheme="minorHAnsi"/>
                <w:lang w:eastAsia="en-GB"/>
              </w:rPr>
            </w:pPr>
            <w:r w:rsidRPr="00873BB5">
              <w:rPr>
                <w:rFonts w:eastAsia="Times New Roman" w:cstheme="minorHAnsi"/>
                <w:lang w:eastAsia="en-GB"/>
              </w:rPr>
              <w:t>Contribute to written outputs for the FPH website or professional networks</w:t>
            </w:r>
          </w:p>
          <w:p w14:paraId="422A34E1" w14:textId="1DA279FF" w:rsidR="007A45BE" w:rsidRPr="00873BB5" w:rsidRDefault="00793243" w:rsidP="007A45BE">
            <w:pPr>
              <w:numPr>
                <w:ilvl w:val="0"/>
                <w:numId w:val="30"/>
              </w:numPr>
              <w:spacing w:after="0" w:line="240" w:lineRule="auto"/>
              <w:rPr>
                <w:rFonts w:eastAsia="Times New Roman" w:cstheme="minorHAnsi"/>
                <w:lang w:eastAsia="en-GB"/>
              </w:rPr>
            </w:pPr>
            <w:r w:rsidRPr="00873BB5">
              <w:rPr>
                <w:rFonts w:eastAsia="Times New Roman" w:cstheme="minorHAnsi"/>
                <w:lang w:eastAsia="en-GB"/>
              </w:rPr>
              <w:t>Maintain a reflective log aligned to curriculum competencies</w:t>
            </w:r>
          </w:p>
          <w:p w14:paraId="4E90041D" w14:textId="1C73367F" w:rsidR="007A45BE" w:rsidRPr="00873BB5" w:rsidRDefault="00793243" w:rsidP="00CF5A82">
            <w:pPr>
              <w:spacing w:after="0" w:line="240" w:lineRule="auto"/>
              <w:rPr>
                <w:rFonts w:eastAsia="Times New Roman" w:cstheme="minorHAnsi"/>
                <w:lang w:eastAsia="en-GB"/>
              </w:rPr>
            </w:pPr>
            <w:r w:rsidRPr="00873BB5">
              <w:rPr>
                <w:rFonts w:eastAsia="Times New Roman" w:cstheme="minorHAnsi"/>
                <w:lang w:eastAsia="en-GB"/>
              </w:rPr>
              <w:t>This placement provides a unique opportunity for a Public Health Registrar</w:t>
            </w:r>
            <w:r w:rsidR="00A23C65" w:rsidRPr="00873BB5">
              <w:rPr>
                <w:rFonts w:eastAsia="Times New Roman" w:cstheme="minorHAnsi"/>
                <w:lang w:eastAsia="en-GB"/>
              </w:rPr>
              <w:t>s who have completed MFPH exams,</w:t>
            </w:r>
            <w:r w:rsidRPr="00873BB5">
              <w:rPr>
                <w:rFonts w:eastAsia="Times New Roman" w:cstheme="minorHAnsi"/>
                <w:lang w:eastAsia="en-GB"/>
              </w:rPr>
              <w:t xml:space="preserve"> to contribute to national strategic work on emergency preparedness, shape future professional standards, and work directly with senior leaders within the Faculty of Public Health. The project strengthens professional identity, supports workforce development, and helps ensure that lessons from previous incidents meaningfully inform future practice.</w:t>
            </w:r>
          </w:p>
        </w:tc>
      </w:tr>
    </w:tbl>
    <w:p w14:paraId="7E76C3E5" w14:textId="77777777" w:rsidR="007A4227" w:rsidRPr="00793243" w:rsidRDefault="007A4227" w:rsidP="007A45BE">
      <w:pPr>
        <w:spacing w:before="240" w:after="60" w:line="240" w:lineRule="auto"/>
        <w:jc w:val="center"/>
        <w:rPr>
          <w:rFonts w:ascii="Calibri" w:hAnsi="Calibri" w:cs="Calibri"/>
          <w:b/>
          <w:color w:val="1F4E79" w:themeColor="accent1" w:themeShade="80"/>
        </w:rPr>
      </w:pPr>
      <w:r w:rsidRPr="00793243">
        <w:rPr>
          <w:rFonts w:ascii="Calibri" w:hAnsi="Calibri" w:cs="Calibri"/>
          <w:b/>
          <w:color w:val="1F4E79" w:themeColor="accent1" w:themeShade="80"/>
        </w:rPr>
        <w:t xml:space="preserve">Projects Scheme </w:t>
      </w:r>
      <w:r w:rsidR="007A45BE" w:rsidRPr="00793243">
        <w:rPr>
          <w:rFonts w:ascii="Calibri" w:hAnsi="Calibri" w:cs="Calibri"/>
          <w:b/>
          <w:color w:val="1F4E79" w:themeColor="accent1" w:themeShade="80"/>
        </w:rPr>
        <w:t>a</w:t>
      </w:r>
      <w:r w:rsidRPr="00793243">
        <w:rPr>
          <w:rFonts w:ascii="Calibri" w:hAnsi="Calibri" w:cs="Calibri"/>
          <w:b/>
          <w:color w:val="1F4E79" w:themeColor="accent1" w:themeShade="80"/>
        </w:rPr>
        <w:t>pplication checklist</w:t>
      </w:r>
    </w:p>
    <w:p w14:paraId="2D461656" w14:textId="77777777" w:rsidR="001B17F5" w:rsidRPr="00793243" w:rsidRDefault="007A45BE" w:rsidP="00F97870">
      <w:pPr>
        <w:rPr>
          <w:rFonts w:ascii="Calibri" w:hAnsi="Calibri" w:cs="Calibri"/>
        </w:rPr>
      </w:pPr>
      <w:r w:rsidRPr="00793243">
        <w:rPr>
          <w:rFonts w:ascii="Calibri" w:hAnsi="Calibri" w:cs="Calibri"/>
        </w:rPr>
        <w:t>Th</w:t>
      </w:r>
      <w:r w:rsidR="007A4227" w:rsidRPr="00793243">
        <w:rPr>
          <w:rFonts w:ascii="Calibri" w:hAnsi="Calibri" w:cs="Calibri"/>
        </w:rPr>
        <w:t>is is</w:t>
      </w:r>
      <w:r w:rsidRPr="00793243">
        <w:rPr>
          <w:rFonts w:ascii="Calibri" w:hAnsi="Calibri" w:cs="Calibri"/>
        </w:rPr>
        <w:t xml:space="preserve"> only</w:t>
      </w:r>
      <w:r w:rsidR="007A4227" w:rsidRPr="00793243">
        <w:rPr>
          <w:rFonts w:ascii="Calibri" w:hAnsi="Calibri" w:cs="Calibri"/>
        </w:rPr>
        <w:t xml:space="preserve"> a </w:t>
      </w:r>
      <w:proofErr w:type="gramStart"/>
      <w:r w:rsidR="007A4227" w:rsidRPr="00793243">
        <w:rPr>
          <w:rFonts w:ascii="Calibri" w:hAnsi="Calibri" w:cs="Calibri"/>
        </w:rPr>
        <w:t>guide</w:t>
      </w:r>
      <w:proofErr w:type="gramEnd"/>
      <w:r w:rsidR="007A4227" w:rsidRPr="00793243">
        <w:rPr>
          <w:rFonts w:ascii="Calibri" w:hAnsi="Calibri" w:cs="Calibri"/>
        </w:rPr>
        <w:t xml:space="preserve"> and other criteria may be used for specific </w:t>
      </w:r>
      <w:r w:rsidRPr="00793243">
        <w:rPr>
          <w:rFonts w:ascii="Calibri" w:hAnsi="Calibri" w:cs="Calibri"/>
        </w:rPr>
        <w:t>projects or training locations</w:t>
      </w:r>
      <w:r w:rsidR="001B17F5" w:rsidRPr="00793243">
        <w:rPr>
          <w:rFonts w:ascii="Calibri" w:hAnsi="Calibri" w:cs="Calibri"/>
        </w:rPr>
        <w:t xml:space="preserve">. </w:t>
      </w:r>
      <w:r w:rsidR="007A4227" w:rsidRPr="00793243">
        <w:rPr>
          <w:rFonts w:ascii="Calibri" w:hAnsi="Calibri" w:cs="Calibri"/>
        </w:rPr>
        <w:t>Ple</w:t>
      </w:r>
      <w:r w:rsidR="00913DE6" w:rsidRPr="00793243">
        <w:rPr>
          <w:rFonts w:ascii="Calibri" w:hAnsi="Calibri" w:cs="Calibri"/>
        </w:rPr>
        <w:t>as</w:t>
      </w:r>
      <w:r w:rsidR="007A4227" w:rsidRPr="00793243">
        <w:rPr>
          <w:rFonts w:ascii="Calibri" w:hAnsi="Calibri" w:cs="Calibri"/>
        </w:rPr>
        <w:t xml:space="preserve">e record if you think you have met the following criteria and if not </w:t>
      </w:r>
      <w:r w:rsidR="00A13117" w:rsidRPr="00793243">
        <w:rPr>
          <w:rFonts w:ascii="Calibri" w:hAnsi="Calibri" w:cs="Calibri"/>
        </w:rPr>
        <w:t>please</w:t>
      </w:r>
      <w:r w:rsidR="007A4227" w:rsidRPr="00793243">
        <w:rPr>
          <w:rFonts w:ascii="Calibri" w:hAnsi="Calibri" w:cs="Calibri"/>
        </w:rPr>
        <w:t xml:space="preserve"> provide details about why the criteria will not be met.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31"/>
        <w:gridCol w:w="1350"/>
      </w:tblGrid>
      <w:tr w:rsidR="007A4227" w:rsidRPr="00793243" w14:paraId="510F40A3" w14:textId="77777777" w:rsidTr="00E70E7B">
        <w:tc>
          <w:tcPr>
            <w:tcW w:w="8431" w:type="dxa"/>
            <w:vAlign w:val="center"/>
          </w:tcPr>
          <w:p w14:paraId="74D3BBAE" w14:textId="77777777" w:rsidR="007A4227" w:rsidRPr="00793243" w:rsidRDefault="007A4227" w:rsidP="00D00C61">
            <w:pPr>
              <w:spacing w:after="0" w:line="240" w:lineRule="auto"/>
              <w:ind w:left="34"/>
              <w:rPr>
                <w:rFonts w:ascii="Calibri" w:eastAsia="Times New Roman" w:hAnsi="Calibri" w:cs="Calibri"/>
                <w:b/>
                <w:bCs/>
              </w:rPr>
            </w:pPr>
            <w:r w:rsidRPr="00793243">
              <w:rPr>
                <w:rFonts w:ascii="Calibri" w:eastAsia="Times New Roman" w:hAnsi="Calibri" w:cs="Calibri"/>
                <w:b/>
                <w:bCs/>
              </w:rPr>
              <w:t xml:space="preserve">The Registrar </w:t>
            </w:r>
            <w:r w:rsidR="00913DE6" w:rsidRPr="00793243">
              <w:rPr>
                <w:rFonts w:ascii="Calibri" w:eastAsia="Times New Roman" w:hAnsi="Calibri" w:cs="Calibri"/>
                <w:b/>
                <w:bCs/>
              </w:rPr>
              <w:t>has</w:t>
            </w:r>
            <w:r w:rsidRPr="00793243">
              <w:rPr>
                <w:rFonts w:ascii="Calibri" w:eastAsia="Times New Roman" w:hAnsi="Calibri" w:cs="Calibri"/>
                <w:b/>
                <w:bCs/>
              </w:rPr>
              <w:t xml:space="preserve"> completed the </w:t>
            </w:r>
            <w:r w:rsidR="007A45BE" w:rsidRPr="00793243">
              <w:rPr>
                <w:rFonts w:ascii="Calibri" w:eastAsia="Times New Roman" w:hAnsi="Calibri" w:cs="Calibri"/>
                <w:b/>
                <w:bCs/>
              </w:rPr>
              <w:t>MFPH</w:t>
            </w:r>
            <w:r w:rsidRPr="00793243">
              <w:rPr>
                <w:rFonts w:ascii="Calibri" w:eastAsia="Times New Roman" w:hAnsi="Calibri" w:cs="Calibri"/>
                <w:b/>
                <w:bCs/>
              </w:rPr>
              <w:t xml:space="preserve"> exam or h</w:t>
            </w:r>
            <w:r w:rsidR="00913DE6" w:rsidRPr="00793243">
              <w:rPr>
                <w:rFonts w:ascii="Calibri" w:eastAsia="Times New Roman" w:hAnsi="Calibri" w:cs="Calibri"/>
                <w:b/>
                <w:bCs/>
              </w:rPr>
              <w:t>as</w:t>
            </w:r>
            <w:r w:rsidRPr="00793243">
              <w:rPr>
                <w:rFonts w:ascii="Calibri" w:eastAsia="Times New Roman" w:hAnsi="Calibri" w:cs="Calibri"/>
                <w:b/>
                <w:bCs/>
              </w:rPr>
              <w:t xml:space="preserve"> an appropriate level of experience</w:t>
            </w:r>
          </w:p>
        </w:tc>
        <w:tc>
          <w:tcPr>
            <w:tcW w:w="1350" w:type="dxa"/>
            <w:vAlign w:val="center"/>
          </w:tcPr>
          <w:p w14:paraId="79D3E543" w14:textId="11E1994A" w:rsidR="007A4227" w:rsidRPr="00793243" w:rsidRDefault="00D00C61" w:rsidP="00D00C61">
            <w:pPr>
              <w:spacing w:after="0" w:line="240" w:lineRule="auto"/>
              <w:jc w:val="center"/>
              <w:rPr>
                <w:rFonts w:ascii="Calibri" w:eastAsia="Times New Roman" w:hAnsi="Calibri" w:cs="Calibri"/>
                <w:b/>
                <w:bCs/>
              </w:rPr>
            </w:pPr>
            <w:r w:rsidRPr="00793243">
              <w:rPr>
                <w:rFonts w:ascii="Calibri" w:eastAsia="Times New Roman" w:hAnsi="Calibri" w:cs="Calibri"/>
                <w:b/>
                <w:bCs/>
              </w:rPr>
              <w:t>YES</w:t>
            </w:r>
            <w:r w:rsidR="00E70E7B" w:rsidRPr="00793243">
              <w:rPr>
                <w:rFonts w:ascii="Calibri" w:eastAsia="Times New Roman" w:hAnsi="Calibri" w:cs="Calibri"/>
                <w:b/>
                <w:bCs/>
              </w:rPr>
              <w:t xml:space="preserve"> </w:t>
            </w:r>
          </w:p>
        </w:tc>
      </w:tr>
      <w:tr w:rsidR="00D00C61" w:rsidRPr="00793243" w14:paraId="381AB4FF" w14:textId="77777777" w:rsidTr="00E70E7B">
        <w:tc>
          <w:tcPr>
            <w:tcW w:w="8431" w:type="dxa"/>
            <w:vAlign w:val="center"/>
          </w:tcPr>
          <w:p w14:paraId="512F8C73" w14:textId="77777777" w:rsidR="00D00C61" w:rsidRPr="00793243" w:rsidRDefault="00D00C61" w:rsidP="00D00C61">
            <w:pPr>
              <w:spacing w:after="0" w:line="240" w:lineRule="auto"/>
              <w:ind w:left="34"/>
              <w:rPr>
                <w:rFonts w:ascii="Calibri" w:eastAsia="Times New Roman" w:hAnsi="Calibri" w:cs="Calibri"/>
                <w:b/>
                <w:bCs/>
              </w:rPr>
            </w:pPr>
            <w:r w:rsidRPr="00793243">
              <w:rPr>
                <w:rFonts w:ascii="Calibri" w:eastAsia="Times New Roman" w:hAnsi="Calibri" w:cs="Calibri"/>
                <w:b/>
                <w:bCs/>
              </w:rPr>
              <w:t>The Registrar has a named Project Supervisor for the duration of the project</w:t>
            </w:r>
          </w:p>
        </w:tc>
        <w:tc>
          <w:tcPr>
            <w:tcW w:w="1350" w:type="dxa"/>
            <w:vAlign w:val="center"/>
          </w:tcPr>
          <w:p w14:paraId="282BEC73" w14:textId="16C253F9" w:rsidR="00D00C61" w:rsidRPr="00793243" w:rsidRDefault="00D00C61" w:rsidP="00D00C61">
            <w:pPr>
              <w:spacing w:after="0" w:line="240" w:lineRule="auto"/>
              <w:jc w:val="center"/>
              <w:rPr>
                <w:rFonts w:ascii="Calibri" w:eastAsia="Times New Roman" w:hAnsi="Calibri" w:cs="Calibri"/>
                <w:b/>
                <w:bCs/>
              </w:rPr>
            </w:pPr>
            <w:r w:rsidRPr="00793243">
              <w:rPr>
                <w:rFonts w:ascii="Calibri" w:eastAsia="Times New Roman" w:hAnsi="Calibri" w:cs="Calibri"/>
                <w:b/>
                <w:bCs/>
              </w:rPr>
              <w:t>YES</w:t>
            </w:r>
            <w:r w:rsidR="00E70E7B" w:rsidRPr="00793243">
              <w:rPr>
                <w:rFonts w:ascii="Calibri" w:eastAsia="Times New Roman" w:hAnsi="Calibri" w:cs="Calibri"/>
                <w:b/>
                <w:bCs/>
              </w:rPr>
              <w:t xml:space="preserve"> </w:t>
            </w:r>
          </w:p>
        </w:tc>
      </w:tr>
      <w:tr w:rsidR="00D00C61" w:rsidRPr="00793243" w14:paraId="23D1164E" w14:textId="77777777" w:rsidTr="00E70E7B">
        <w:trPr>
          <w:trHeight w:val="325"/>
        </w:trPr>
        <w:tc>
          <w:tcPr>
            <w:tcW w:w="8431" w:type="dxa"/>
            <w:vAlign w:val="center"/>
          </w:tcPr>
          <w:p w14:paraId="739E5D78" w14:textId="77777777" w:rsidR="00D00C61" w:rsidRPr="00793243" w:rsidRDefault="00D00C61" w:rsidP="00D00C61">
            <w:pPr>
              <w:spacing w:after="0" w:line="240" w:lineRule="auto"/>
              <w:ind w:left="34"/>
              <w:rPr>
                <w:rFonts w:ascii="Calibri" w:eastAsia="Times New Roman" w:hAnsi="Calibri" w:cs="Calibri"/>
                <w:b/>
                <w:bCs/>
              </w:rPr>
            </w:pPr>
            <w:r w:rsidRPr="00793243">
              <w:rPr>
                <w:rFonts w:ascii="Calibri" w:eastAsia="Times New Roman" w:hAnsi="Calibri" w:cs="Calibri"/>
                <w:b/>
                <w:bCs/>
              </w:rPr>
              <w:lastRenderedPageBreak/>
              <w:t>The TPD for the Registrar has seen and approved the project</w:t>
            </w:r>
          </w:p>
        </w:tc>
        <w:tc>
          <w:tcPr>
            <w:tcW w:w="1350" w:type="dxa"/>
            <w:vAlign w:val="center"/>
          </w:tcPr>
          <w:p w14:paraId="1D74C5B3" w14:textId="381C31C1" w:rsidR="00D00C61" w:rsidRPr="00793243" w:rsidRDefault="00D00C61" w:rsidP="00D00C61">
            <w:pPr>
              <w:spacing w:after="0" w:line="240" w:lineRule="auto"/>
              <w:jc w:val="center"/>
              <w:rPr>
                <w:rFonts w:ascii="Calibri" w:eastAsia="Times New Roman" w:hAnsi="Calibri" w:cs="Calibri"/>
                <w:b/>
                <w:bCs/>
              </w:rPr>
            </w:pPr>
            <w:r w:rsidRPr="00793243">
              <w:rPr>
                <w:rFonts w:ascii="Calibri" w:eastAsia="Times New Roman" w:hAnsi="Calibri" w:cs="Calibri"/>
                <w:b/>
                <w:bCs/>
              </w:rPr>
              <w:t>YES</w:t>
            </w:r>
            <w:r w:rsidR="00E70E7B" w:rsidRPr="00793243">
              <w:rPr>
                <w:rFonts w:ascii="Calibri" w:eastAsia="Times New Roman" w:hAnsi="Calibri" w:cs="Calibri"/>
                <w:b/>
                <w:bCs/>
              </w:rPr>
              <w:t xml:space="preserve"> </w:t>
            </w:r>
          </w:p>
        </w:tc>
      </w:tr>
      <w:tr w:rsidR="00D00C61" w:rsidRPr="00793243" w14:paraId="1A2D75E1" w14:textId="77777777" w:rsidTr="00E70E7B">
        <w:trPr>
          <w:trHeight w:val="557"/>
        </w:trPr>
        <w:tc>
          <w:tcPr>
            <w:tcW w:w="8431" w:type="dxa"/>
            <w:vAlign w:val="center"/>
          </w:tcPr>
          <w:p w14:paraId="2751839B" w14:textId="77777777" w:rsidR="00D00C61" w:rsidRPr="00793243" w:rsidRDefault="00D00C61" w:rsidP="00D00C61">
            <w:pPr>
              <w:spacing w:after="0" w:line="240" w:lineRule="auto"/>
              <w:ind w:left="34"/>
              <w:rPr>
                <w:rFonts w:ascii="Calibri" w:eastAsia="Times New Roman" w:hAnsi="Calibri" w:cs="Calibri"/>
                <w:b/>
                <w:bCs/>
              </w:rPr>
            </w:pPr>
            <w:r w:rsidRPr="00793243">
              <w:rPr>
                <w:rFonts w:ascii="Calibri" w:eastAsia="Times New Roman" w:hAnsi="Calibri" w:cs="Calibri"/>
                <w:b/>
                <w:bCs/>
              </w:rPr>
              <w:t>The Registrar’s Educational Supervisor has seen the project and agrees that it meets the Registrar’s training needs</w:t>
            </w:r>
          </w:p>
        </w:tc>
        <w:tc>
          <w:tcPr>
            <w:tcW w:w="1350" w:type="dxa"/>
            <w:vAlign w:val="center"/>
          </w:tcPr>
          <w:p w14:paraId="7D329FE8" w14:textId="2CAD78BB" w:rsidR="00D00C61" w:rsidRPr="00793243" w:rsidRDefault="00D00C61" w:rsidP="00D00C61">
            <w:pPr>
              <w:spacing w:after="0" w:line="240" w:lineRule="auto"/>
              <w:jc w:val="center"/>
              <w:rPr>
                <w:rFonts w:ascii="Calibri" w:eastAsia="Times New Roman" w:hAnsi="Calibri" w:cs="Calibri"/>
                <w:b/>
                <w:bCs/>
              </w:rPr>
            </w:pPr>
            <w:r w:rsidRPr="00793243">
              <w:rPr>
                <w:rFonts w:ascii="Calibri" w:eastAsia="Times New Roman" w:hAnsi="Calibri" w:cs="Calibri"/>
                <w:b/>
                <w:bCs/>
              </w:rPr>
              <w:t>YES</w:t>
            </w:r>
            <w:r w:rsidR="00E70E7B" w:rsidRPr="00793243">
              <w:rPr>
                <w:rFonts w:ascii="Calibri" w:eastAsia="Times New Roman" w:hAnsi="Calibri" w:cs="Calibri"/>
                <w:b/>
                <w:bCs/>
              </w:rPr>
              <w:t xml:space="preserve"> </w:t>
            </w:r>
          </w:p>
        </w:tc>
      </w:tr>
      <w:tr w:rsidR="00D00C61" w:rsidRPr="00793243" w14:paraId="5F10215F" w14:textId="77777777" w:rsidTr="00E70E7B">
        <w:trPr>
          <w:trHeight w:val="546"/>
        </w:trPr>
        <w:tc>
          <w:tcPr>
            <w:tcW w:w="8431" w:type="dxa"/>
            <w:vAlign w:val="center"/>
          </w:tcPr>
          <w:p w14:paraId="5D0FF01C" w14:textId="77777777" w:rsidR="00D00C61" w:rsidRPr="00793243" w:rsidRDefault="00D00C61" w:rsidP="00D00C61">
            <w:pPr>
              <w:spacing w:after="0" w:line="240" w:lineRule="auto"/>
              <w:ind w:left="34"/>
              <w:rPr>
                <w:rFonts w:ascii="Calibri" w:eastAsia="Times New Roman" w:hAnsi="Calibri" w:cs="Calibri"/>
                <w:b/>
                <w:bCs/>
              </w:rPr>
            </w:pPr>
            <w:r w:rsidRPr="00793243">
              <w:rPr>
                <w:rFonts w:ascii="Calibri" w:eastAsia="Times New Roman" w:hAnsi="Calibri" w:cs="Calibri"/>
                <w:b/>
                <w:bCs/>
              </w:rPr>
              <w:t>There is clarity on the process for the Project Supervisor and Educational Supervisor to communicate about the Registrar’s progress</w:t>
            </w:r>
          </w:p>
        </w:tc>
        <w:tc>
          <w:tcPr>
            <w:tcW w:w="1350" w:type="dxa"/>
            <w:vAlign w:val="center"/>
          </w:tcPr>
          <w:p w14:paraId="477B44ED" w14:textId="15FD5994" w:rsidR="00D00C61" w:rsidRPr="00793243" w:rsidRDefault="00D00C61" w:rsidP="00D00C61">
            <w:pPr>
              <w:spacing w:after="0" w:line="240" w:lineRule="auto"/>
              <w:jc w:val="center"/>
              <w:rPr>
                <w:rFonts w:ascii="Calibri" w:eastAsia="Times New Roman" w:hAnsi="Calibri" w:cs="Calibri"/>
                <w:b/>
                <w:bCs/>
              </w:rPr>
            </w:pPr>
            <w:r w:rsidRPr="00793243">
              <w:rPr>
                <w:rFonts w:ascii="Calibri" w:eastAsia="Times New Roman" w:hAnsi="Calibri" w:cs="Calibri"/>
                <w:b/>
                <w:bCs/>
              </w:rPr>
              <w:t>YES</w:t>
            </w:r>
            <w:r w:rsidR="00E70E7B" w:rsidRPr="00793243">
              <w:rPr>
                <w:rFonts w:ascii="Calibri" w:eastAsia="Times New Roman" w:hAnsi="Calibri" w:cs="Calibri"/>
                <w:b/>
                <w:bCs/>
              </w:rPr>
              <w:t xml:space="preserve"> </w:t>
            </w:r>
          </w:p>
        </w:tc>
      </w:tr>
      <w:tr w:rsidR="00D00C61" w:rsidRPr="00793243" w14:paraId="6FB99F0E" w14:textId="77777777" w:rsidTr="00E70E7B">
        <w:trPr>
          <w:trHeight w:val="271"/>
        </w:trPr>
        <w:tc>
          <w:tcPr>
            <w:tcW w:w="8431" w:type="dxa"/>
            <w:vAlign w:val="center"/>
          </w:tcPr>
          <w:p w14:paraId="08DD1B39" w14:textId="77777777" w:rsidR="00D00C61" w:rsidRPr="00793243" w:rsidRDefault="00D00C61" w:rsidP="00D00C61">
            <w:pPr>
              <w:spacing w:after="0" w:line="240" w:lineRule="auto"/>
              <w:ind w:left="34"/>
              <w:rPr>
                <w:rFonts w:ascii="Calibri" w:eastAsia="Times New Roman" w:hAnsi="Calibri" w:cs="Calibri"/>
                <w:b/>
                <w:bCs/>
              </w:rPr>
            </w:pPr>
            <w:r w:rsidRPr="00793243">
              <w:rPr>
                <w:rFonts w:ascii="Calibri" w:eastAsia="Times New Roman" w:hAnsi="Calibri" w:cs="Calibri"/>
                <w:b/>
                <w:bCs/>
              </w:rPr>
              <w:t>The project brief clearly describes the Learning Outcomes and competencies expected</w:t>
            </w:r>
          </w:p>
        </w:tc>
        <w:tc>
          <w:tcPr>
            <w:tcW w:w="1350" w:type="dxa"/>
            <w:vAlign w:val="center"/>
          </w:tcPr>
          <w:p w14:paraId="256A07CA" w14:textId="33624CB9" w:rsidR="00D00C61" w:rsidRPr="00793243" w:rsidRDefault="00D00C61" w:rsidP="00D00C61">
            <w:pPr>
              <w:spacing w:after="0" w:line="240" w:lineRule="auto"/>
              <w:jc w:val="center"/>
              <w:rPr>
                <w:rFonts w:ascii="Calibri" w:eastAsia="Times New Roman" w:hAnsi="Calibri" w:cs="Calibri"/>
                <w:b/>
                <w:bCs/>
              </w:rPr>
            </w:pPr>
            <w:r w:rsidRPr="00793243">
              <w:rPr>
                <w:rFonts w:ascii="Calibri" w:eastAsia="Times New Roman" w:hAnsi="Calibri" w:cs="Calibri"/>
                <w:b/>
                <w:bCs/>
              </w:rPr>
              <w:t>YES</w:t>
            </w:r>
            <w:r w:rsidR="00E70E7B" w:rsidRPr="00793243">
              <w:rPr>
                <w:rFonts w:ascii="Calibri" w:eastAsia="Times New Roman" w:hAnsi="Calibri" w:cs="Calibri"/>
                <w:b/>
                <w:bCs/>
              </w:rPr>
              <w:t xml:space="preserve"> </w:t>
            </w:r>
          </w:p>
        </w:tc>
      </w:tr>
    </w:tbl>
    <w:p w14:paraId="3F17D1A6" w14:textId="77777777" w:rsidR="00F465D4" w:rsidRPr="00793243" w:rsidRDefault="00F465D4" w:rsidP="005F65D5">
      <w:pPr>
        <w:rPr>
          <w:rFonts w:ascii="Calibri" w:hAnsi="Calibri" w:cs="Calibri"/>
        </w:rPr>
      </w:pPr>
    </w:p>
    <w:sectPr w:rsidR="00F465D4" w:rsidRPr="00793243" w:rsidSect="00D40CC4">
      <w:headerReference w:type="first" r:id="rId14"/>
      <w:pgSz w:w="11906" w:h="16838"/>
      <w:pgMar w:top="993" w:right="1080" w:bottom="851" w:left="1080"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B1E1" w14:textId="77777777" w:rsidR="007A5AD6" w:rsidRDefault="007A5AD6" w:rsidP="00E84043">
      <w:pPr>
        <w:spacing w:after="0" w:line="240" w:lineRule="auto"/>
      </w:pPr>
      <w:r>
        <w:separator/>
      </w:r>
    </w:p>
  </w:endnote>
  <w:endnote w:type="continuationSeparator" w:id="0">
    <w:p w14:paraId="0F9E251D" w14:textId="77777777" w:rsidR="007A5AD6" w:rsidRDefault="007A5AD6" w:rsidP="00E84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7769E" w14:textId="77777777" w:rsidR="007A5AD6" w:rsidRDefault="007A5AD6" w:rsidP="00E84043">
      <w:pPr>
        <w:spacing w:after="0" w:line="240" w:lineRule="auto"/>
      </w:pPr>
      <w:r>
        <w:separator/>
      </w:r>
    </w:p>
  </w:footnote>
  <w:footnote w:type="continuationSeparator" w:id="0">
    <w:p w14:paraId="394F4011" w14:textId="77777777" w:rsidR="007A5AD6" w:rsidRDefault="007A5AD6" w:rsidP="00E84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50CA" w14:textId="77777777" w:rsidR="005F65D5" w:rsidRDefault="005F65D5">
    <w:pPr>
      <w:pStyle w:val="Header"/>
    </w:pPr>
    <w:r>
      <w:rPr>
        <w:noProof/>
        <w:lang w:eastAsia="en-GB"/>
      </w:rPr>
      <w:drawing>
        <wp:anchor distT="0" distB="0" distL="114300" distR="114300" simplePos="0" relativeHeight="251659264" behindDoc="0" locked="0" layoutInCell="1" allowOverlap="1" wp14:anchorId="3A425765" wp14:editId="1E1F9B5B">
          <wp:simplePos x="0" y="0"/>
          <wp:positionH relativeFrom="margin">
            <wp:posOffset>5494655</wp:posOffset>
          </wp:positionH>
          <wp:positionV relativeFrom="paragraph">
            <wp:posOffset>-150820</wp:posOffset>
          </wp:positionV>
          <wp:extent cx="694459" cy="861762"/>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ph_vertical_blue_rgb.png"/>
                  <pic:cNvPicPr/>
                </pic:nvPicPr>
                <pic:blipFill>
                  <a:blip r:embed="rId1">
                    <a:extLst>
                      <a:ext uri="{28A0092B-C50C-407E-A947-70E740481C1C}">
                        <a14:useLocalDpi xmlns:a14="http://schemas.microsoft.com/office/drawing/2010/main" val="0"/>
                      </a:ext>
                    </a:extLst>
                  </a:blip>
                  <a:stretch>
                    <a:fillRect/>
                  </a:stretch>
                </pic:blipFill>
                <pic:spPr>
                  <a:xfrm>
                    <a:off x="0" y="0"/>
                    <a:ext cx="694459" cy="861762"/>
                  </a:xfrm>
                  <a:prstGeom prst="rect">
                    <a:avLst/>
                  </a:prstGeom>
                </pic:spPr>
              </pic:pic>
            </a:graphicData>
          </a:graphic>
          <wp14:sizeRelH relativeFrom="margin">
            <wp14:pctWidth>0</wp14:pctWidth>
          </wp14:sizeRelH>
          <wp14:sizeRelV relativeFrom="margin">
            <wp14:pctHeight>0</wp14:pctHeight>
          </wp14:sizeRelV>
        </wp:anchor>
      </w:drawing>
    </w:r>
  </w:p>
  <w:p w14:paraId="31434600" w14:textId="77777777" w:rsidR="001A0F32" w:rsidRDefault="001A0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DB2"/>
    <w:multiLevelType w:val="multilevel"/>
    <w:tmpl w:val="F9CA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86022"/>
    <w:multiLevelType w:val="hybridMultilevel"/>
    <w:tmpl w:val="99CA49AC"/>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6681F"/>
    <w:multiLevelType w:val="multilevel"/>
    <w:tmpl w:val="948E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27E96"/>
    <w:multiLevelType w:val="multilevel"/>
    <w:tmpl w:val="47C8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51B8C"/>
    <w:multiLevelType w:val="multilevel"/>
    <w:tmpl w:val="F382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15137"/>
    <w:multiLevelType w:val="hybridMultilevel"/>
    <w:tmpl w:val="F132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15058"/>
    <w:multiLevelType w:val="hybridMultilevel"/>
    <w:tmpl w:val="EC04EC76"/>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C358D"/>
    <w:multiLevelType w:val="hybridMultilevel"/>
    <w:tmpl w:val="594C2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FF7516"/>
    <w:multiLevelType w:val="multilevel"/>
    <w:tmpl w:val="5B5E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65E8F"/>
    <w:multiLevelType w:val="hybridMultilevel"/>
    <w:tmpl w:val="D1705D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3360CD"/>
    <w:multiLevelType w:val="multilevel"/>
    <w:tmpl w:val="B0AAF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A322AB"/>
    <w:multiLevelType w:val="hybridMultilevel"/>
    <w:tmpl w:val="7298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F5A53"/>
    <w:multiLevelType w:val="multilevel"/>
    <w:tmpl w:val="CD3C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A6EB4"/>
    <w:multiLevelType w:val="multilevel"/>
    <w:tmpl w:val="7116D96C"/>
    <w:lvl w:ilvl="0">
      <w:start w:val="1"/>
      <w:numFmt w:val="bullet"/>
      <w:lvlText w:val=""/>
      <w:lvlJc w:val="left"/>
      <w:pPr>
        <w:ind w:left="360" w:hanging="360"/>
      </w:pPr>
      <w:rPr>
        <w:rFonts w:ascii="Symbol" w:hAnsi="Symbol" w:hint="default"/>
        <w:color w:val="2E74B5" w:themeColor="accent1" w:themeShade="B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C3A2DF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CC477F3"/>
    <w:multiLevelType w:val="hybridMultilevel"/>
    <w:tmpl w:val="EB524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E6527"/>
    <w:multiLevelType w:val="multilevel"/>
    <w:tmpl w:val="8A8E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8626F"/>
    <w:multiLevelType w:val="hybridMultilevel"/>
    <w:tmpl w:val="55447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9575D"/>
    <w:multiLevelType w:val="hybridMultilevel"/>
    <w:tmpl w:val="99CA49AC"/>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82B0E"/>
    <w:multiLevelType w:val="hybridMultilevel"/>
    <w:tmpl w:val="F4FAC2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8F7F28"/>
    <w:multiLevelType w:val="hybridMultilevel"/>
    <w:tmpl w:val="99CA49AC"/>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12C26"/>
    <w:multiLevelType w:val="multilevel"/>
    <w:tmpl w:val="BE76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F54887"/>
    <w:multiLevelType w:val="multilevel"/>
    <w:tmpl w:val="2CF8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4D078F"/>
    <w:multiLevelType w:val="hybridMultilevel"/>
    <w:tmpl w:val="594C2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1019A0"/>
    <w:multiLevelType w:val="multilevel"/>
    <w:tmpl w:val="7664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C23220"/>
    <w:multiLevelType w:val="multilevel"/>
    <w:tmpl w:val="47F8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D83B1A"/>
    <w:multiLevelType w:val="multilevel"/>
    <w:tmpl w:val="340AC40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C9207D3"/>
    <w:multiLevelType w:val="hybridMultilevel"/>
    <w:tmpl w:val="D6AE71D6"/>
    <w:lvl w:ilvl="0" w:tplc="E5708BB4">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AE4B9A"/>
    <w:multiLevelType w:val="multilevel"/>
    <w:tmpl w:val="4AFC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3F27F6"/>
    <w:multiLevelType w:val="multilevel"/>
    <w:tmpl w:val="92FE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69278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7876F61"/>
    <w:multiLevelType w:val="hybridMultilevel"/>
    <w:tmpl w:val="6B0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467C15"/>
    <w:multiLevelType w:val="multilevel"/>
    <w:tmpl w:val="134E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C403C"/>
    <w:multiLevelType w:val="multilevel"/>
    <w:tmpl w:val="08A4FD3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D0208F1"/>
    <w:multiLevelType w:val="multilevel"/>
    <w:tmpl w:val="8388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50548"/>
    <w:multiLevelType w:val="multilevel"/>
    <w:tmpl w:val="7678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F710E0"/>
    <w:multiLevelType w:val="hybridMultilevel"/>
    <w:tmpl w:val="573050A2"/>
    <w:lvl w:ilvl="0" w:tplc="E5708BB4">
      <w:start w:val="1"/>
      <w:numFmt w:val="decimal"/>
      <w:lvlText w:val="%1."/>
      <w:lvlJc w:val="left"/>
      <w:pPr>
        <w:ind w:left="643"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8618CE"/>
    <w:multiLevelType w:val="hybridMultilevel"/>
    <w:tmpl w:val="DD348FC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671571366">
    <w:abstractNumId w:val="11"/>
  </w:num>
  <w:num w:numId="2" w16cid:durableId="1902134659">
    <w:abstractNumId w:val="31"/>
  </w:num>
  <w:num w:numId="3" w16cid:durableId="243535399">
    <w:abstractNumId w:val="17"/>
  </w:num>
  <w:num w:numId="4" w16cid:durableId="2114738029">
    <w:abstractNumId w:val="19"/>
  </w:num>
  <w:num w:numId="5" w16cid:durableId="129788999">
    <w:abstractNumId w:val="14"/>
  </w:num>
  <w:num w:numId="6" w16cid:durableId="15348231">
    <w:abstractNumId w:val="9"/>
  </w:num>
  <w:num w:numId="7" w16cid:durableId="165022180">
    <w:abstractNumId w:val="15"/>
  </w:num>
  <w:num w:numId="8" w16cid:durableId="375281707">
    <w:abstractNumId w:val="33"/>
  </w:num>
  <w:num w:numId="9" w16cid:durableId="939751149">
    <w:abstractNumId w:val="30"/>
  </w:num>
  <w:num w:numId="10" w16cid:durableId="1549101307">
    <w:abstractNumId w:val="5"/>
  </w:num>
  <w:num w:numId="11" w16cid:durableId="794518506">
    <w:abstractNumId w:val="7"/>
  </w:num>
  <w:num w:numId="12" w16cid:durableId="966935742">
    <w:abstractNumId w:val="36"/>
  </w:num>
  <w:num w:numId="13" w16cid:durableId="2129347955">
    <w:abstractNumId w:val="18"/>
  </w:num>
  <w:num w:numId="14" w16cid:durableId="1900093453">
    <w:abstractNumId w:val="27"/>
  </w:num>
  <w:num w:numId="15" w16cid:durableId="948514375">
    <w:abstractNumId w:val="26"/>
  </w:num>
  <w:num w:numId="16" w16cid:durableId="2143190313">
    <w:abstractNumId w:val="6"/>
  </w:num>
  <w:num w:numId="17" w16cid:durableId="542982180">
    <w:abstractNumId w:val="37"/>
  </w:num>
  <w:num w:numId="18" w16cid:durableId="952587905">
    <w:abstractNumId w:val="23"/>
  </w:num>
  <w:num w:numId="19" w16cid:durableId="1359769577">
    <w:abstractNumId w:val="13"/>
  </w:num>
  <w:num w:numId="20" w16cid:durableId="642195685">
    <w:abstractNumId w:val="1"/>
  </w:num>
  <w:num w:numId="21" w16cid:durableId="334580377">
    <w:abstractNumId w:val="20"/>
  </w:num>
  <w:num w:numId="22" w16cid:durableId="1257444159">
    <w:abstractNumId w:val="0"/>
  </w:num>
  <w:num w:numId="23" w16cid:durableId="1621716812">
    <w:abstractNumId w:val="16"/>
  </w:num>
  <w:num w:numId="24" w16cid:durableId="556354366">
    <w:abstractNumId w:val="35"/>
  </w:num>
  <w:num w:numId="25" w16cid:durableId="74212781">
    <w:abstractNumId w:val="3"/>
  </w:num>
  <w:num w:numId="26" w16cid:durableId="220796958">
    <w:abstractNumId w:val="32"/>
  </w:num>
  <w:num w:numId="27" w16cid:durableId="770585863">
    <w:abstractNumId w:val="21"/>
  </w:num>
  <w:num w:numId="28" w16cid:durableId="1762754510">
    <w:abstractNumId w:val="8"/>
  </w:num>
  <w:num w:numId="29" w16cid:durableId="428310279">
    <w:abstractNumId w:val="2"/>
  </w:num>
  <w:num w:numId="30" w16cid:durableId="1357197086">
    <w:abstractNumId w:val="10"/>
  </w:num>
  <w:num w:numId="31" w16cid:durableId="212886650">
    <w:abstractNumId w:val="4"/>
  </w:num>
  <w:num w:numId="32" w16cid:durableId="4789989">
    <w:abstractNumId w:val="24"/>
  </w:num>
  <w:num w:numId="33" w16cid:durableId="1987513656">
    <w:abstractNumId w:val="22"/>
  </w:num>
  <w:num w:numId="34" w16cid:durableId="564921664">
    <w:abstractNumId w:val="12"/>
  </w:num>
  <w:num w:numId="35" w16cid:durableId="1116829419">
    <w:abstractNumId w:val="28"/>
  </w:num>
  <w:num w:numId="36" w16cid:durableId="1759862541">
    <w:abstractNumId w:val="29"/>
  </w:num>
  <w:num w:numId="37" w16cid:durableId="356544510">
    <w:abstractNumId w:val="25"/>
  </w:num>
  <w:num w:numId="38" w16cid:durableId="25259480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CE"/>
    <w:rsid w:val="00022DDD"/>
    <w:rsid w:val="00064ECD"/>
    <w:rsid w:val="000C6B81"/>
    <w:rsid w:val="000F47AD"/>
    <w:rsid w:val="000F5A05"/>
    <w:rsid w:val="00105EF9"/>
    <w:rsid w:val="00121AEA"/>
    <w:rsid w:val="00136A72"/>
    <w:rsid w:val="001472B6"/>
    <w:rsid w:val="001472D6"/>
    <w:rsid w:val="001A0F32"/>
    <w:rsid w:val="001A2408"/>
    <w:rsid w:val="001B17F5"/>
    <w:rsid w:val="001F4E85"/>
    <w:rsid w:val="001F63E1"/>
    <w:rsid w:val="001F700B"/>
    <w:rsid w:val="00243341"/>
    <w:rsid w:val="002E2433"/>
    <w:rsid w:val="003117D9"/>
    <w:rsid w:val="00361998"/>
    <w:rsid w:val="00370621"/>
    <w:rsid w:val="003724EE"/>
    <w:rsid w:val="003C2964"/>
    <w:rsid w:val="0041645C"/>
    <w:rsid w:val="0046609E"/>
    <w:rsid w:val="0049513C"/>
    <w:rsid w:val="0052520C"/>
    <w:rsid w:val="005278EB"/>
    <w:rsid w:val="005305C9"/>
    <w:rsid w:val="0053107B"/>
    <w:rsid w:val="005445E4"/>
    <w:rsid w:val="00576A32"/>
    <w:rsid w:val="00577F6D"/>
    <w:rsid w:val="00580829"/>
    <w:rsid w:val="005B488C"/>
    <w:rsid w:val="005D0AE3"/>
    <w:rsid w:val="005F65D5"/>
    <w:rsid w:val="005F78F1"/>
    <w:rsid w:val="00617964"/>
    <w:rsid w:val="006527F8"/>
    <w:rsid w:val="006857DE"/>
    <w:rsid w:val="006A38EA"/>
    <w:rsid w:val="006C136C"/>
    <w:rsid w:val="006C7397"/>
    <w:rsid w:val="006D3E11"/>
    <w:rsid w:val="006D7A00"/>
    <w:rsid w:val="00713503"/>
    <w:rsid w:val="00745273"/>
    <w:rsid w:val="00782ED7"/>
    <w:rsid w:val="00786B9F"/>
    <w:rsid w:val="00793243"/>
    <w:rsid w:val="007A4227"/>
    <w:rsid w:val="007A45BE"/>
    <w:rsid w:val="007A5AD6"/>
    <w:rsid w:val="007C4589"/>
    <w:rsid w:val="007D23F3"/>
    <w:rsid w:val="008323E8"/>
    <w:rsid w:val="00832C35"/>
    <w:rsid w:val="00873BB5"/>
    <w:rsid w:val="0089584D"/>
    <w:rsid w:val="008B02E8"/>
    <w:rsid w:val="008B044A"/>
    <w:rsid w:val="008B7299"/>
    <w:rsid w:val="008C2F7D"/>
    <w:rsid w:val="008F5866"/>
    <w:rsid w:val="00902485"/>
    <w:rsid w:val="0090783D"/>
    <w:rsid w:val="00913DE6"/>
    <w:rsid w:val="009143D7"/>
    <w:rsid w:val="0091451D"/>
    <w:rsid w:val="00916423"/>
    <w:rsid w:val="009176DD"/>
    <w:rsid w:val="00930ED7"/>
    <w:rsid w:val="00937C7A"/>
    <w:rsid w:val="00954CC9"/>
    <w:rsid w:val="009727DB"/>
    <w:rsid w:val="0098388A"/>
    <w:rsid w:val="009B0915"/>
    <w:rsid w:val="009B47B1"/>
    <w:rsid w:val="009D65A2"/>
    <w:rsid w:val="009D71BC"/>
    <w:rsid w:val="009E7DED"/>
    <w:rsid w:val="00A13117"/>
    <w:rsid w:val="00A23C65"/>
    <w:rsid w:val="00A24864"/>
    <w:rsid w:val="00A6748A"/>
    <w:rsid w:val="00A738EC"/>
    <w:rsid w:val="00AB6AF8"/>
    <w:rsid w:val="00AC443E"/>
    <w:rsid w:val="00AD2E92"/>
    <w:rsid w:val="00AE7C6B"/>
    <w:rsid w:val="00B2471A"/>
    <w:rsid w:val="00B412C5"/>
    <w:rsid w:val="00B66D7B"/>
    <w:rsid w:val="00BA3D3E"/>
    <w:rsid w:val="00BB5586"/>
    <w:rsid w:val="00BC1901"/>
    <w:rsid w:val="00BE4708"/>
    <w:rsid w:val="00BF4541"/>
    <w:rsid w:val="00C00317"/>
    <w:rsid w:val="00C22979"/>
    <w:rsid w:val="00C2335B"/>
    <w:rsid w:val="00C37E51"/>
    <w:rsid w:val="00C65C5A"/>
    <w:rsid w:val="00C77BD7"/>
    <w:rsid w:val="00C81E50"/>
    <w:rsid w:val="00CD1D0F"/>
    <w:rsid w:val="00CD66DA"/>
    <w:rsid w:val="00CF5A82"/>
    <w:rsid w:val="00D00C61"/>
    <w:rsid w:val="00D15261"/>
    <w:rsid w:val="00D15BC5"/>
    <w:rsid w:val="00D231A3"/>
    <w:rsid w:val="00D40CC4"/>
    <w:rsid w:val="00D96FCE"/>
    <w:rsid w:val="00D97C82"/>
    <w:rsid w:val="00DA5888"/>
    <w:rsid w:val="00E06E39"/>
    <w:rsid w:val="00E20889"/>
    <w:rsid w:val="00E64A91"/>
    <w:rsid w:val="00E70E7B"/>
    <w:rsid w:val="00E84043"/>
    <w:rsid w:val="00F465D4"/>
    <w:rsid w:val="00F97870"/>
    <w:rsid w:val="00FB3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0713"/>
  <w15:chartTrackingRefBased/>
  <w15:docId w15:val="{CED11158-B999-46F4-9052-F1DF3E28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2CE"/>
  </w:style>
  <w:style w:type="paragraph" w:styleId="Heading3">
    <w:name w:val="heading 3"/>
    <w:basedOn w:val="Normal"/>
    <w:next w:val="Normal"/>
    <w:link w:val="Heading3Char"/>
    <w:uiPriority w:val="99"/>
    <w:qFormat/>
    <w:rsid w:val="00C77BD7"/>
    <w:pPr>
      <w:keepNext/>
      <w:keepLines/>
      <w:spacing w:before="200" w:after="0" w:line="280" w:lineRule="atLeast"/>
      <w:outlineLvl w:val="2"/>
    </w:pPr>
    <w:rPr>
      <w:rFonts w:ascii="Arial" w:eastAsia="Times New Roman" w:hAnsi="Arial" w:cs="Times New Roman"/>
      <w:b/>
      <w:bCs/>
      <w:sz w:val="24"/>
      <w:szCs w:val="24"/>
    </w:rPr>
  </w:style>
  <w:style w:type="paragraph" w:styleId="Heading4">
    <w:name w:val="heading 4"/>
    <w:basedOn w:val="Normal"/>
    <w:next w:val="Normal"/>
    <w:link w:val="Heading4Char"/>
    <w:uiPriority w:val="9"/>
    <w:semiHidden/>
    <w:unhideWhenUsed/>
    <w:qFormat/>
    <w:rsid w:val="0079324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FB32CE"/>
    <w:pPr>
      <w:pBdr>
        <w:bottom w:val="single" w:sz="8" w:space="4" w:color="4F81BD"/>
      </w:pBdr>
      <w:spacing w:after="300" w:line="240" w:lineRule="auto"/>
      <w:contextualSpacing/>
    </w:pPr>
    <w:rPr>
      <w:rFonts w:ascii="Arial" w:eastAsia="Times New Roman" w:hAnsi="Arial" w:cs="Times New Roman"/>
      <w:color w:val="000000"/>
      <w:spacing w:val="5"/>
      <w:kern w:val="28"/>
      <w:sz w:val="52"/>
      <w:szCs w:val="52"/>
    </w:rPr>
  </w:style>
  <w:style w:type="character" w:customStyle="1" w:styleId="TitleChar">
    <w:name w:val="Title Char"/>
    <w:basedOn w:val="DefaultParagraphFont"/>
    <w:link w:val="Title"/>
    <w:uiPriority w:val="99"/>
    <w:rsid w:val="00FB32CE"/>
    <w:rPr>
      <w:rFonts w:ascii="Arial" w:eastAsia="Times New Roman" w:hAnsi="Arial" w:cs="Times New Roman"/>
      <w:color w:val="000000"/>
      <w:spacing w:val="5"/>
      <w:kern w:val="28"/>
      <w:sz w:val="52"/>
      <w:szCs w:val="52"/>
    </w:rPr>
  </w:style>
  <w:style w:type="paragraph" w:styleId="ListParagraph">
    <w:name w:val="List Paragraph"/>
    <w:basedOn w:val="Normal"/>
    <w:uiPriority w:val="34"/>
    <w:qFormat/>
    <w:rsid w:val="00BE4708"/>
    <w:pPr>
      <w:ind w:left="720"/>
      <w:contextualSpacing/>
    </w:pPr>
  </w:style>
  <w:style w:type="character" w:styleId="Hyperlink">
    <w:name w:val="Hyperlink"/>
    <w:basedOn w:val="DefaultParagraphFont"/>
    <w:uiPriority w:val="99"/>
    <w:unhideWhenUsed/>
    <w:rsid w:val="00BE4708"/>
    <w:rPr>
      <w:color w:val="0563C1" w:themeColor="hyperlink"/>
      <w:u w:val="single"/>
    </w:rPr>
  </w:style>
  <w:style w:type="character" w:customStyle="1" w:styleId="Heading3Char">
    <w:name w:val="Heading 3 Char"/>
    <w:basedOn w:val="DefaultParagraphFont"/>
    <w:link w:val="Heading3"/>
    <w:uiPriority w:val="99"/>
    <w:rsid w:val="00C77BD7"/>
    <w:rPr>
      <w:rFonts w:ascii="Arial" w:eastAsia="Times New Roman" w:hAnsi="Arial" w:cs="Times New Roman"/>
      <w:b/>
      <w:bCs/>
      <w:sz w:val="24"/>
      <w:szCs w:val="24"/>
    </w:rPr>
  </w:style>
  <w:style w:type="table" w:styleId="TableGrid">
    <w:name w:val="Table Grid"/>
    <w:basedOn w:val="TableNormal"/>
    <w:uiPriority w:val="39"/>
    <w:rsid w:val="00C77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7AD"/>
    <w:rPr>
      <w:rFonts w:ascii="Segoe UI" w:hAnsi="Segoe UI" w:cs="Segoe UI"/>
      <w:sz w:val="18"/>
      <w:szCs w:val="18"/>
    </w:rPr>
  </w:style>
  <w:style w:type="paragraph" w:styleId="Header">
    <w:name w:val="header"/>
    <w:basedOn w:val="Normal"/>
    <w:link w:val="HeaderChar"/>
    <w:uiPriority w:val="99"/>
    <w:unhideWhenUsed/>
    <w:rsid w:val="00E84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043"/>
  </w:style>
  <w:style w:type="paragraph" w:styleId="Footer">
    <w:name w:val="footer"/>
    <w:basedOn w:val="Normal"/>
    <w:link w:val="FooterChar"/>
    <w:uiPriority w:val="99"/>
    <w:unhideWhenUsed/>
    <w:rsid w:val="00E84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043"/>
  </w:style>
  <w:style w:type="character" w:styleId="CommentReference">
    <w:name w:val="annotation reference"/>
    <w:basedOn w:val="DefaultParagraphFont"/>
    <w:uiPriority w:val="99"/>
    <w:semiHidden/>
    <w:unhideWhenUsed/>
    <w:rsid w:val="00064ECD"/>
    <w:rPr>
      <w:sz w:val="16"/>
      <w:szCs w:val="16"/>
    </w:rPr>
  </w:style>
  <w:style w:type="paragraph" w:styleId="CommentText">
    <w:name w:val="annotation text"/>
    <w:basedOn w:val="Normal"/>
    <w:link w:val="CommentTextChar"/>
    <w:uiPriority w:val="99"/>
    <w:semiHidden/>
    <w:unhideWhenUsed/>
    <w:rsid w:val="00064ECD"/>
    <w:pPr>
      <w:spacing w:line="240" w:lineRule="auto"/>
    </w:pPr>
    <w:rPr>
      <w:sz w:val="20"/>
      <w:szCs w:val="20"/>
    </w:rPr>
  </w:style>
  <w:style w:type="character" w:customStyle="1" w:styleId="CommentTextChar">
    <w:name w:val="Comment Text Char"/>
    <w:basedOn w:val="DefaultParagraphFont"/>
    <w:link w:val="CommentText"/>
    <w:uiPriority w:val="99"/>
    <w:semiHidden/>
    <w:rsid w:val="00064ECD"/>
    <w:rPr>
      <w:sz w:val="20"/>
      <w:szCs w:val="20"/>
    </w:rPr>
  </w:style>
  <w:style w:type="paragraph" w:styleId="CommentSubject">
    <w:name w:val="annotation subject"/>
    <w:basedOn w:val="CommentText"/>
    <w:next w:val="CommentText"/>
    <w:link w:val="CommentSubjectChar"/>
    <w:uiPriority w:val="99"/>
    <w:semiHidden/>
    <w:unhideWhenUsed/>
    <w:rsid w:val="00064ECD"/>
    <w:rPr>
      <w:b/>
      <w:bCs/>
    </w:rPr>
  </w:style>
  <w:style w:type="character" w:customStyle="1" w:styleId="CommentSubjectChar">
    <w:name w:val="Comment Subject Char"/>
    <w:basedOn w:val="CommentTextChar"/>
    <w:link w:val="CommentSubject"/>
    <w:uiPriority w:val="99"/>
    <w:semiHidden/>
    <w:rsid w:val="00064ECD"/>
    <w:rPr>
      <w:b/>
      <w:bCs/>
      <w:sz w:val="20"/>
      <w:szCs w:val="20"/>
    </w:rPr>
  </w:style>
  <w:style w:type="character" w:customStyle="1" w:styleId="Heading4Char">
    <w:name w:val="Heading 4 Char"/>
    <w:basedOn w:val="DefaultParagraphFont"/>
    <w:link w:val="Heading4"/>
    <w:uiPriority w:val="9"/>
    <w:semiHidden/>
    <w:rsid w:val="00793243"/>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BB5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9269">
      <w:bodyDiv w:val="1"/>
      <w:marLeft w:val="0"/>
      <w:marRight w:val="0"/>
      <w:marTop w:val="0"/>
      <w:marBottom w:val="0"/>
      <w:divBdr>
        <w:top w:val="none" w:sz="0" w:space="0" w:color="auto"/>
        <w:left w:val="none" w:sz="0" w:space="0" w:color="auto"/>
        <w:bottom w:val="none" w:sz="0" w:space="0" w:color="auto"/>
        <w:right w:val="none" w:sz="0" w:space="0" w:color="auto"/>
      </w:divBdr>
      <w:divsChild>
        <w:div w:id="1319530001">
          <w:marLeft w:val="0"/>
          <w:marRight w:val="0"/>
          <w:marTop w:val="0"/>
          <w:marBottom w:val="0"/>
          <w:divBdr>
            <w:top w:val="none" w:sz="0" w:space="0" w:color="auto"/>
            <w:left w:val="none" w:sz="0" w:space="0" w:color="auto"/>
            <w:bottom w:val="none" w:sz="0" w:space="0" w:color="auto"/>
            <w:right w:val="none" w:sz="0" w:space="0" w:color="auto"/>
          </w:divBdr>
        </w:div>
      </w:divsChild>
    </w:div>
    <w:div w:id="120997859">
      <w:bodyDiv w:val="1"/>
      <w:marLeft w:val="0"/>
      <w:marRight w:val="0"/>
      <w:marTop w:val="0"/>
      <w:marBottom w:val="0"/>
      <w:divBdr>
        <w:top w:val="none" w:sz="0" w:space="0" w:color="auto"/>
        <w:left w:val="none" w:sz="0" w:space="0" w:color="auto"/>
        <w:bottom w:val="none" w:sz="0" w:space="0" w:color="auto"/>
        <w:right w:val="none" w:sz="0" w:space="0" w:color="auto"/>
      </w:divBdr>
      <w:divsChild>
        <w:div w:id="164904487">
          <w:marLeft w:val="0"/>
          <w:marRight w:val="0"/>
          <w:marTop w:val="0"/>
          <w:marBottom w:val="0"/>
          <w:divBdr>
            <w:top w:val="none" w:sz="0" w:space="0" w:color="auto"/>
            <w:left w:val="none" w:sz="0" w:space="0" w:color="auto"/>
            <w:bottom w:val="none" w:sz="0" w:space="0" w:color="auto"/>
            <w:right w:val="none" w:sz="0" w:space="0" w:color="auto"/>
          </w:divBdr>
        </w:div>
      </w:divsChild>
    </w:div>
    <w:div w:id="170226089">
      <w:bodyDiv w:val="1"/>
      <w:marLeft w:val="0"/>
      <w:marRight w:val="0"/>
      <w:marTop w:val="0"/>
      <w:marBottom w:val="0"/>
      <w:divBdr>
        <w:top w:val="none" w:sz="0" w:space="0" w:color="auto"/>
        <w:left w:val="none" w:sz="0" w:space="0" w:color="auto"/>
        <w:bottom w:val="none" w:sz="0" w:space="0" w:color="auto"/>
        <w:right w:val="none" w:sz="0" w:space="0" w:color="auto"/>
      </w:divBdr>
      <w:divsChild>
        <w:div w:id="1238783966">
          <w:marLeft w:val="0"/>
          <w:marRight w:val="0"/>
          <w:marTop w:val="0"/>
          <w:marBottom w:val="0"/>
          <w:divBdr>
            <w:top w:val="none" w:sz="0" w:space="0" w:color="auto"/>
            <w:left w:val="none" w:sz="0" w:space="0" w:color="auto"/>
            <w:bottom w:val="none" w:sz="0" w:space="0" w:color="auto"/>
            <w:right w:val="none" w:sz="0" w:space="0" w:color="auto"/>
          </w:divBdr>
        </w:div>
        <w:div w:id="862473159">
          <w:marLeft w:val="0"/>
          <w:marRight w:val="0"/>
          <w:marTop w:val="0"/>
          <w:marBottom w:val="0"/>
          <w:divBdr>
            <w:top w:val="none" w:sz="0" w:space="0" w:color="auto"/>
            <w:left w:val="none" w:sz="0" w:space="0" w:color="auto"/>
            <w:bottom w:val="none" w:sz="0" w:space="0" w:color="auto"/>
            <w:right w:val="none" w:sz="0" w:space="0" w:color="auto"/>
          </w:divBdr>
        </w:div>
      </w:divsChild>
    </w:div>
    <w:div w:id="176969467">
      <w:bodyDiv w:val="1"/>
      <w:marLeft w:val="0"/>
      <w:marRight w:val="0"/>
      <w:marTop w:val="0"/>
      <w:marBottom w:val="0"/>
      <w:divBdr>
        <w:top w:val="none" w:sz="0" w:space="0" w:color="auto"/>
        <w:left w:val="none" w:sz="0" w:space="0" w:color="auto"/>
        <w:bottom w:val="none" w:sz="0" w:space="0" w:color="auto"/>
        <w:right w:val="none" w:sz="0" w:space="0" w:color="auto"/>
      </w:divBdr>
    </w:div>
    <w:div w:id="186457005">
      <w:bodyDiv w:val="1"/>
      <w:marLeft w:val="0"/>
      <w:marRight w:val="0"/>
      <w:marTop w:val="0"/>
      <w:marBottom w:val="0"/>
      <w:divBdr>
        <w:top w:val="none" w:sz="0" w:space="0" w:color="auto"/>
        <w:left w:val="none" w:sz="0" w:space="0" w:color="auto"/>
        <w:bottom w:val="none" w:sz="0" w:space="0" w:color="auto"/>
        <w:right w:val="none" w:sz="0" w:space="0" w:color="auto"/>
      </w:divBdr>
    </w:div>
    <w:div w:id="461921766">
      <w:bodyDiv w:val="1"/>
      <w:marLeft w:val="0"/>
      <w:marRight w:val="0"/>
      <w:marTop w:val="0"/>
      <w:marBottom w:val="0"/>
      <w:divBdr>
        <w:top w:val="none" w:sz="0" w:space="0" w:color="auto"/>
        <w:left w:val="none" w:sz="0" w:space="0" w:color="auto"/>
        <w:bottom w:val="none" w:sz="0" w:space="0" w:color="auto"/>
        <w:right w:val="none" w:sz="0" w:space="0" w:color="auto"/>
      </w:divBdr>
      <w:divsChild>
        <w:div w:id="2052879152">
          <w:marLeft w:val="0"/>
          <w:marRight w:val="0"/>
          <w:marTop w:val="0"/>
          <w:marBottom w:val="0"/>
          <w:divBdr>
            <w:top w:val="none" w:sz="0" w:space="0" w:color="auto"/>
            <w:left w:val="none" w:sz="0" w:space="0" w:color="auto"/>
            <w:bottom w:val="none" w:sz="0" w:space="0" w:color="auto"/>
            <w:right w:val="none" w:sz="0" w:space="0" w:color="auto"/>
          </w:divBdr>
        </w:div>
      </w:divsChild>
    </w:div>
    <w:div w:id="491876176">
      <w:bodyDiv w:val="1"/>
      <w:marLeft w:val="0"/>
      <w:marRight w:val="0"/>
      <w:marTop w:val="0"/>
      <w:marBottom w:val="0"/>
      <w:divBdr>
        <w:top w:val="none" w:sz="0" w:space="0" w:color="auto"/>
        <w:left w:val="none" w:sz="0" w:space="0" w:color="auto"/>
        <w:bottom w:val="none" w:sz="0" w:space="0" w:color="auto"/>
        <w:right w:val="none" w:sz="0" w:space="0" w:color="auto"/>
      </w:divBdr>
    </w:div>
    <w:div w:id="1160199478">
      <w:bodyDiv w:val="1"/>
      <w:marLeft w:val="0"/>
      <w:marRight w:val="0"/>
      <w:marTop w:val="0"/>
      <w:marBottom w:val="0"/>
      <w:divBdr>
        <w:top w:val="none" w:sz="0" w:space="0" w:color="auto"/>
        <w:left w:val="none" w:sz="0" w:space="0" w:color="auto"/>
        <w:bottom w:val="none" w:sz="0" w:space="0" w:color="auto"/>
        <w:right w:val="none" w:sz="0" w:space="0" w:color="auto"/>
      </w:divBdr>
      <w:divsChild>
        <w:div w:id="1256943809">
          <w:marLeft w:val="0"/>
          <w:marRight w:val="0"/>
          <w:marTop w:val="0"/>
          <w:marBottom w:val="0"/>
          <w:divBdr>
            <w:top w:val="none" w:sz="0" w:space="0" w:color="auto"/>
            <w:left w:val="none" w:sz="0" w:space="0" w:color="auto"/>
            <w:bottom w:val="none" w:sz="0" w:space="0" w:color="auto"/>
            <w:right w:val="none" w:sz="0" w:space="0" w:color="auto"/>
          </w:divBdr>
        </w:div>
      </w:divsChild>
    </w:div>
    <w:div w:id="1354960995">
      <w:bodyDiv w:val="1"/>
      <w:marLeft w:val="0"/>
      <w:marRight w:val="0"/>
      <w:marTop w:val="0"/>
      <w:marBottom w:val="0"/>
      <w:divBdr>
        <w:top w:val="none" w:sz="0" w:space="0" w:color="auto"/>
        <w:left w:val="none" w:sz="0" w:space="0" w:color="auto"/>
        <w:bottom w:val="none" w:sz="0" w:space="0" w:color="auto"/>
        <w:right w:val="none" w:sz="0" w:space="0" w:color="auto"/>
      </w:divBdr>
    </w:div>
    <w:div w:id="187187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ident@fph.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ident@fph.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uc@fph.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3" ma:contentTypeDescription="Create a new document." ma:contentTypeScope="" ma:versionID="84c801e36ee5e31a3102ff20221292f1">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b49ae22c883309abee71b4b7d2379f38"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fd94f8-d53f-484d-8b39-ddf7dd448415}"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27969-E86A-42D1-9195-CF597A97B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c2bf-407b-4a43-989f-dd7e803d576b"/>
    <ds:schemaRef ds:uri="107f3248-7408-4af3-8a1e-7daa86aac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4A3E7-370C-44D5-80AE-403101479AD2}">
  <ds:schemaRefs>
    <ds:schemaRef ds:uri="http://schemas.openxmlformats.org/officeDocument/2006/bibliography"/>
  </ds:schemaRefs>
</ds:datastoreItem>
</file>

<file path=customXml/itemProps3.xml><?xml version="1.0" encoding="utf-8"?>
<ds:datastoreItem xmlns:ds="http://schemas.openxmlformats.org/officeDocument/2006/customXml" ds:itemID="{83DC13EC-4154-4DF1-B992-DD8E91503F82}">
  <ds:schemaRefs>
    <ds:schemaRef ds:uri="http://schemas.microsoft.com/office/2006/metadata/properties"/>
    <ds:schemaRef ds:uri="http://schemas.microsoft.com/office/infopath/2007/PartnerControls"/>
    <ds:schemaRef ds:uri="3f7fc2bf-407b-4a43-989f-dd7e803d576b"/>
    <ds:schemaRef ds:uri="107f3248-7408-4af3-8a1e-7daa86aacaf3"/>
  </ds:schemaRefs>
</ds:datastoreItem>
</file>

<file path=customXml/itemProps4.xml><?xml version="1.0" encoding="utf-8"?>
<ds:datastoreItem xmlns:ds="http://schemas.openxmlformats.org/officeDocument/2006/customXml" ds:itemID="{A612AF43-3494-45A9-96C0-7391A32EBF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Challow</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Cooke</dc:creator>
  <cp:keywords/>
  <dc:description/>
  <cp:lastModifiedBy>Julian Ryder</cp:lastModifiedBy>
  <cp:revision>8</cp:revision>
  <cp:lastPrinted>2019-08-06T12:34:00Z</cp:lastPrinted>
  <dcterms:created xsi:type="dcterms:W3CDTF">2026-03-26T09:47:00Z</dcterms:created>
  <dcterms:modified xsi:type="dcterms:W3CDTF">2026-03-26T11:56:00Z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0x01010049932F09C3A23D4998B9EA31F785FD95</vt:lpwstr>
  </property>
  <property fmtid="{D5CDD505-2E9C-101B-9397-08002B2CF9AE}" pid="3" name="MediaServiceImageTags">
    <vt:lpwstr/>
  </property>
</Properties>
</file>